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7"/>
      </w:pPr>
      <w:r>
        <w:rPr>
          <w:rFonts w:ascii="Times New Roman"/>
        </w:rPr>
        <w:t>ICS</w:t>
      </w:r>
      <w:r>
        <w:rPr>
          <w:rFonts w:hint="eastAsia" w:ascii="MS Mincho" w:hAnsi="MS Mincho" w:eastAsia="MS Mincho" w:cs="MS Mincho"/>
        </w:rPr>
        <w:t> </w:t>
      </w:r>
      <w:bookmarkStart w:id="0" w:name="ICS"/>
      <w: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点击此处添加ICS号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点击此处添加ICS号</w:t>
      </w:r>
      <w:r>
        <w:fldChar w:fldCharType="end"/>
      </w:r>
      <w:bookmarkEnd w:id="0"/>
    </w:p>
    <w:p>
      <w:pPr>
        <w:pStyle w:val="117"/>
      </w:pPr>
      <w:bookmarkStart w:id="1" w:name="WXFLH"/>
      <w:r>
        <w:fldChar w:fldCharType="begin">
          <w:ffData>
            <w:name w:val="WXFLH"/>
            <w:enabled/>
            <w:calcOnExit w:val="0"/>
            <w:helpText w:type="text" w:val="请输入中国标准文献分类号："/>
            <w:textInput>
              <w:default w:val="点击此处添加中国标准文献分类号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点击此处添加中国标准文献分类号</w:t>
      </w:r>
      <w:r>
        <w:fldChar w:fldCharType="end"/>
      </w:r>
      <w:bookmarkEnd w:id="1"/>
    </w:p>
    <w:tbl>
      <w:tblPr>
        <w:tblStyle w:val="30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117"/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9525" b="11430"/>
                      <wp:wrapNone/>
                      <wp:docPr id="6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5.6pt;width:68.25pt;z-index:-251653120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yK4v7NUAAAAHAQAADwAAAAAAAAABACAAAAAi&#10;AAAAZHJzL2Rvd25yZXYueG1sUEsBAhQAFAAAAAgAh07iQFNqfDebAQAAIgMAAA4AAAAAAAAAAQAg&#10;AAAAJAEAAGRycy9lMm9Eb2MueG1sUEsFBgAAAAAGAAYAWQEAADE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2" w:name="BAH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</w:tbl>
    <w:p>
      <w:pPr>
        <w:pStyle w:val="104"/>
      </w:pPr>
      <w:r>
        <w:t>DB</w:t>
      </w:r>
      <w:bookmarkStart w:id="3" w:name="c3"/>
      <w:r>
        <w:fldChar w:fldCharType="begin">
          <w:ffData>
            <w:name w:val="c3"/>
            <w:enabled/>
            <w:calcOnExit w:val="0"/>
            <w:entryMacro w:val="ShowHelp16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34</w:t>
      </w:r>
      <w:r>
        <w:fldChar w:fldCharType="end"/>
      </w:r>
      <w:bookmarkEnd w:id="3"/>
    </w:p>
    <w:p>
      <w:pPr>
        <w:pStyle w:val="105"/>
      </w:pPr>
      <w:bookmarkStart w:id="4" w:name="c4"/>
      <w: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安徽省</w:t>
      </w:r>
      <w:r>
        <w:fldChar w:fldCharType="end"/>
      </w:r>
      <w:bookmarkEnd w:id="4"/>
      <w:r>
        <w:rPr>
          <w:rFonts w:hint="eastAsia"/>
        </w:rPr>
        <w:t>地方标准</w:t>
      </w:r>
    </w:p>
    <w:p>
      <w:pPr>
        <w:pStyle w:val="44"/>
        <w:rPr>
          <w:rFonts w:hAnsi="黑体"/>
        </w:rPr>
      </w:pPr>
      <w:r>
        <w:rPr>
          <w:rFonts w:ascii="Times New Roman"/>
        </w:rPr>
        <w:t xml:space="preserve">DB </w:t>
      </w:r>
      <w:bookmarkStart w:id="5" w:name="StdNo0"/>
      <w:r>
        <w:rPr>
          <w:rFonts w:hAnsi="黑体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int="eastAsia" w:hAnsi="黑体"/>
        </w:rPr>
        <w:t>34</w:t>
      </w:r>
      <w:r>
        <w:rPr>
          <w:rFonts w:hAnsi="黑体"/>
        </w:rPr>
        <w:fldChar w:fldCharType="end"/>
      </w:r>
      <w:bookmarkEnd w:id="5"/>
      <w:r>
        <w:rPr>
          <w:rFonts w:hAnsi="黑体"/>
        </w:rPr>
        <w:t xml:space="preserve">/ </w:t>
      </w:r>
      <w:bookmarkStart w:id="6" w:name="StdNo1"/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T</w:t>
      </w:r>
      <w:r>
        <w:rPr>
          <w:rFonts w:hint="eastAsia" w:hAnsi="黑体"/>
        </w:rPr>
        <w:t>XXXX</w:t>
      </w:r>
      <w:r>
        <w:rPr>
          <w:rFonts w:hAnsi="黑体"/>
        </w:rPr>
        <w:fldChar w:fldCharType="end"/>
      </w:r>
      <w:bookmarkEnd w:id="6"/>
      <w:r>
        <w:rPr>
          <w:rFonts w:hAnsi="黑体"/>
        </w:rPr>
        <w:t>—</w:t>
      </w:r>
      <w:bookmarkStart w:id="7" w:name="StdNo2"/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XXXX</w:t>
      </w:r>
      <w:r>
        <w:rPr>
          <w:rFonts w:hAnsi="黑体"/>
        </w:rPr>
        <w:fldChar w:fldCharType="end"/>
      </w:r>
      <w:bookmarkEnd w:id="7"/>
    </w:p>
    <w:tbl>
      <w:tblPr>
        <w:tblStyle w:val="30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72"/>
            </w:pPr>
            <w:bookmarkStart w:id="8" w:name="DT"/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3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72.8pt;margin-top:2.7pt;height:18pt;width:90pt;z-index:-251656192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eYPLL1gAAAAgBAAAPAAAAAAAAAAEAIAAAACIAAABk&#10;cnMvZG93bnJldi54bWxQSwECFAAUAAAACACHTuJAhAExApYBAAAiAwAADgAAAAAAAAABACAAAAAl&#10;AQAAZHJzL2Uyb0RvYy54bWxQSwUGAAAAAAYABgBZAQAALQ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8"/>
          </w:p>
        </w:tc>
      </w:tr>
    </w:tbl>
    <w:p>
      <w:pPr>
        <w:pStyle w:val="44"/>
        <w:rPr>
          <w:rFonts w:hAnsi="黑体"/>
        </w:rPr>
      </w:pPr>
    </w:p>
    <w:p>
      <w:pPr>
        <w:pStyle w:val="44"/>
        <w:rPr>
          <w:rFonts w:hAnsi="黑体"/>
        </w:rPr>
      </w:pPr>
    </w:p>
    <w:p>
      <w:pPr>
        <w:pStyle w:val="74"/>
      </w:pPr>
      <w:bookmarkStart w:id="9" w:name="StdName"/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中药材加工技术规程  百合</w:t>
      </w:r>
      <w:r>
        <w:fldChar w:fldCharType="end"/>
      </w:r>
      <w:bookmarkEnd w:id="9"/>
    </w:p>
    <w:p>
      <w:pPr>
        <w:pStyle w:val="75"/>
      </w:pPr>
      <w:bookmarkStart w:id="10" w:name="StdEnglishName"/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r>
        <w:instrText xml:space="preserve"> FORMTEXT </w:instrText>
      </w:r>
      <w:r>
        <w:fldChar w:fldCharType="separate"/>
      </w:r>
      <w:r>
        <w:t xml:space="preserve"> Technical regulations for processing Chinese herbal medicines</w:t>
      </w:r>
      <w:r>
        <w:fldChar w:fldCharType="end"/>
      </w:r>
      <w:bookmarkEnd w:id="10"/>
    </w:p>
    <w:p>
      <w:pPr>
        <w:pStyle w:val="76"/>
      </w:pPr>
      <w:bookmarkStart w:id="11" w:name="YZBS"/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点击此处添加与国际标准一致性程度的标识</w:t>
      </w:r>
      <w:r>
        <w:fldChar w:fldCharType="end"/>
      </w:r>
      <w:bookmarkEnd w:id="11"/>
    </w:p>
    <w:tbl>
      <w:tblPr>
        <w:tblStyle w:val="30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77"/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12700"/>
                      <wp:wrapNone/>
                      <wp:docPr id="5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45.15pt;height:20pt;width:150pt;z-index:-251654144;mso-width-relative:page;mso-height-relative:page;" fillcolor="#FFFFFF" filled="t" stroked="f" coordsize="21600,21600" o:gfxdata="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AWJrpLVAAAACgEAAA8AAAAAAAAAAQAgAAAAIgAAAGRy&#10;cy9kb3ducmV2LnhtbFBLAQIUABQAAAAIAIdO4kB/7y+DlgEAACIDAAAOAAAAAAAAAAEAIAAAACQB&#10;AABkcnMvZTJvRG9jLnhtbFBLBQYAAAAABgAGAFkBAAAsBQAAAAA=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6350" b="0"/>
                      <wp:wrapNone/>
                      <wp:docPr id="4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93.3pt;margin-top:20.15pt;height:24pt;width:100pt;z-index:-251655168;mso-width-relative:page;mso-height-relative:page;" fillcolor="#FFFFFF" filled="t" stroked="f" coordsize="21600,21600" o:gfxdata="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D4Yvl1gAAAAkBAAAPAAAAAAAAAAEAIAAAACIAAABk&#10;cnMvZG93bnJldi54bWxQSwECFAAUAAAACACHTuJAJ8rUxJYBAAAiAwAADgAAAAAAAAABACAAAAAl&#10;AQAAZHJzL2Uyb0RvYy54bWxQSwUGAAAAAAYABgBZAQAALQ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LB"/>
                  <w:enabled/>
                  <w:calcOnExit w:val="0"/>
                  <w:ddList>
                    <w:result w:val="2"/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12" w:name="LB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pStyle w:val="78"/>
            </w:pPr>
            <w:bookmarkStart w:id="13" w:name="WCRQ"/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3"/>
          </w:p>
        </w:tc>
      </w:tr>
    </w:tbl>
    <w:p>
      <w:pPr>
        <w:pStyle w:val="124"/>
      </w:pPr>
      <w:bookmarkStart w:id="14" w:name="FY"/>
      <w:r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bookmarkStart w:id="46" w:name="_GoBack"/>
      <w:bookmarkEnd w:id="46"/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5" w:name="FD"/>
      <w:r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5"/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0" r="0" b="0"/>
                <wp:wrapNone/>
                <wp:docPr id="1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0.05pt;margin-top:728.5pt;height:0pt;width:481.9pt;mso-position-vertical-relative:page;z-index:251658240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lh2s81gAAAAsBAAAPAAAAAAAAAAEAIAAAACIAAABkcnMv&#10;ZG93bnJldi54bWxQSwECFAAUAAAACACHTuJAf8oDOcwBAACO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25"/>
      </w:pPr>
      <w:bookmarkStart w:id="16" w:name="SY"/>
      <w:r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6"/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7" w:name="SM"/>
      <w:r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8" w:name="SD"/>
      <w:r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8"/>
      <w:r>
        <w:rPr>
          <w:rFonts w:hint="eastAsia"/>
        </w:rPr>
        <w:t>实施</w:t>
      </w:r>
    </w:p>
    <w:p>
      <w:pPr>
        <w:pStyle w:val="106"/>
      </w:pPr>
      <w:bookmarkStart w:id="19" w:name="fm"/>
      <w:r>
        <w:fldChar w:fldCharType="begin">
          <w:ffData>
            <w:name w:val="fm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安徽省质量技术监督局</w:t>
      </w:r>
      <w:r>
        <w:fldChar w:fldCharType="end"/>
      </w:r>
      <w:bookmarkEnd w:id="19"/>
      <w:r>
        <w:rPr>
          <w:rFonts w:hint="eastAsia" w:ascii="MS Mincho" w:hAnsi="MS Mincho" w:eastAsia="MS Mincho" w:cs="MS Mincho"/>
        </w:rPr>
        <w:t>   </w:t>
      </w:r>
      <w:r>
        <w:rPr>
          <w:rStyle w:val="134"/>
          <w:rFonts w:hint="eastAsia"/>
        </w:rPr>
        <w:t>发布</w:t>
      </w:r>
    </w:p>
    <w:p>
      <w:pPr>
        <w:pStyle w:val="21"/>
        <w:sectPr>
          <w:pgSz w:w="11906" w:h="16838"/>
          <w:pgMar w:top="567" w:right="850" w:bottom="1134" w:left="1418" w:header="0" w:footer="0" w:gutter="0"/>
          <w:pgNumType w:start="1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0" t="0" r="0" b="0"/>
                <wp:wrapNone/>
                <wp:docPr id="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05pt;margin-top:184.25pt;height:0pt;width:481.9pt;z-index:251659264;mso-width-relative:page;mso-height-relative:page;" filled="f" stroked="t" coordsize="21600,21600" o:gfxdata="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JB4l/XAAAACQEAAA8AAAAAAAAAAQAgAAAAIgAAAGRy&#10;cy9kb3ducmV2LnhtbFBLAQIUABQAAAAIAIdO4kBJcGetzQEAAI4DAAAOAAAAAAAAAAEAIAAAACY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7"/>
        <w:rPr>
          <w:rFonts w:hint="eastAsia"/>
        </w:rPr>
      </w:pPr>
      <w:r>
        <w:rPr>
          <w:rFonts w:hint="eastAsia"/>
        </w:rPr>
        <w:t>目</w:t>
      </w:r>
      <w:bookmarkStart w:id="20" w:name="BKML"/>
      <w:r>
        <w:rPr>
          <w:rFonts w:hint="eastAsia" w:ascii="MS Mincho" w:hAnsi="MS Mincho" w:eastAsia="MS Mincho" w:cs="MS Mincho"/>
        </w:rPr>
        <w:t>  </w:t>
      </w:r>
      <w:r>
        <w:rPr>
          <w:rFonts w:hint="eastAsia"/>
        </w:rPr>
        <w:t>次</w:t>
      </w:r>
      <w:bookmarkEnd w:id="20"/>
    </w:p>
    <w:p>
      <w:pPr>
        <w:pStyle w:val="17"/>
        <w:spacing w:before="78" w:after="78"/>
        <w:rPr>
          <w:rFonts w:ascii="Calibri" w:hAnsi="Calibri"/>
          <w:szCs w:val="22"/>
        </w:rPr>
      </w:pPr>
      <w:r>
        <w:fldChar w:fldCharType="begin" w:fldLock="1"/>
      </w:r>
      <w:r>
        <w:instrText xml:space="preserve"> </w:instrText>
      </w:r>
      <w:r>
        <w:rPr>
          <w:rFonts w:hint="eastAsia"/>
        </w:rPr>
        <w:instrText xml:space="preserve">TOC \h \z \t"前言、引言标题,1,参考文献、索引标题,1,章标题,1,参考文献,1,附录标识,1,一级条标题, 3" \* MERGEFORMAT</w:instrText>
      </w:r>
      <w:r>
        <w:instrText xml:space="preserve"> </w:instrText>
      </w:r>
      <w:r>
        <w:fldChar w:fldCharType="separate"/>
      </w:r>
      <w:r>
        <w:rPr>
          <w:rStyle w:val="37"/>
        </w:rPr>
        <w:fldChar w:fldCharType="begin" w:fldLock="1"/>
      </w:r>
      <w:r>
        <w:rPr>
          <w:rStyle w:val="37"/>
        </w:rPr>
        <w:instrText xml:space="preserve"> </w:instrText>
      </w:r>
      <w:r>
        <w:instrText xml:space="preserve">HYPERLINK \l "_Toc2779779"</w:instrText>
      </w:r>
      <w:r>
        <w:rPr>
          <w:rStyle w:val="37"/>
        </w:rPr>
        <w:instrText xml:space="preserve"> </w:instrText>
      </w:r>
      <w:r>
        <w:rPr>
          <w:rStyle w:val="37"/>
        </w:rPr>
        <w:fldChar w:fldCharType="separate"/>
      </w:r>
      <w:r>
        <w:rPr>
          <w:rStyle w:val="37"/>
          <w:rFonts w:hint="eastAsia"/>
        </w:rPr>
        <w:t>前言</w:t>
      </w:r>
      <w:r>
        <w:tab/>
      </w:r>
      <w:r>
        <w:fldChar w:fldCharType="begin" w:fldLock="1"/>
      </w:r>
      <w:r>
        <w:instrText xml:space="preserve"> PAGEREF _Toc2779779 \h </w:instrText>
      </w:r>
      <w:r>
        <w:fldChar w:fldCharType="separate"/>
      </w:r>
      <w:r>
        <w:t>II</w:t>
      </w:r>
      <w:r>
        <w:fldChar w:fldCharType="end"/>
      </w:r>
      <w:r>
        <w:rPr>
          <w:rStyle w:val="37"/>
        </w:rPr>
        <w:fldChar w:fldCharType="end"/>
      </w:r>
    </w:p>
    <w:p>
      <w:pPr>
        <w:pStyle w:val="17"/>
        <w:spacing w:before="78" w:after="78"/>
        <w:rPr>
          <w:rFonts w:ascii="Calibri" w:hAnsi="Calibri"/>
          <w:szCs w:val="22"/>
        </w:rPr>
      </w:pPr>
      <w:r>
        <w:rPr>
          <w:rStyle w:val="37"/>
        </w:rPr>
        <w:fldChar w:fldCharType="begin" w:fldLock="1"/>
      </w:r>
      <w:r>
        <w:rPr>
          <w:rStyle w:val="37"/>
        </w:rPr>
        <w:instrText xml:space="preserve"> </w:instrText>
      </w:r>
      <w:r>
        <w:instrText xml:space="preserve">HYPERLINK \l "_Toc2779780"</w:instrText>
      </w:r>
      <w:r>
        <w:rPr>
          <w:rStyle w:val="37"/>
        </w:rPr>
        <w:instrText xml:space="preserve"> </w:instrText>
      </w:r>
      <w:r>
        <w:rPr>
          <w:rStyle w:val="37"/>
        </w:rPr>
        <w:fldChar w:fldCharType="separate"/>
      </w:r>
      <w:r>
        <w:rPr>
          <w:rStyle w:val="37"/>
        </w:rPr>
        <w:t>1</w:t>
      </w:r>
      <w:r>
        <w:rPr>
          <w:rStyle w:val="37"/>
          <w:rFonts w:hint="eastAsia"/>
        </w:rPr>
        <w:t xml:space="preserve"> 范围</w:t>
      </w:r>
      <w:r>
        <w:tab/>
      </w:r>
      <w:r>
        <w:fldChar w:fldCharType="begin" w:fldLock="1"/>
      </w:r>
      <w:r>
        <w:instrText xml:space="preserve"> PAGEREF _Toc2779780 \h </w:instrText>
      </w:r>
      <w:r>
        <w:fldChar w:fldCharType="separate"/>
      </w:r>
      <w:r>
        <w:t>1</w:t>
      </w:r>
      <w:r>
        <w:fldChar w:fldCharType="end"/>
      </w:r>
      <w:r>
        <w:rPr>
          <w:rStyle w:val="37"/>
        </w:rPr>
        <w:fldChar w:fldCharType="end"/>
      </w:r>
    </w:p>
    <w:p>
      <w:pPr>
        <w:pStyle w:val="17"/>
        <w:spacing w:before="78" w:after="78"/>
        <w:rPr>
          <w:rFonts w:ascii="Calibri" w:hAnsi="Calibri"/>
          <w:szCs w:val="22"/>
        </w:rPr>
      </w:pPr>
      <w:r>
        <w:rPr>
          <w:rStyle w:val="37"/>
        </w:rPr>
        <w:fldChar w:fldCharType="begin" w:fldLock="1"/>
      </w:r>
      <w:r>
        <w:rPr>
          <w:rStyle w:val="37"/>
        </w:rPr>
        <w:instrText xml:space="preserve"> </w:instrText>
      </w:r>
      <w:r>
        <w:instrText xml:space="preserve">HYPERLINK \l "_Toc2779781"</w:instrText>
      </w:r>
      <w:r>
        <w:rPr>
          <w:rStyle w:val="37"/>
        </w:rPr>
        <w:instrText xml:space="preserve"> </w:instrText>
      </w:r>
      <w:r>
        <w:rPr>
          <w:rStyle w:val="37"/>
        </w:rPr>
        <w:fldChar w:fldCharType="separate"/>
      </w:r>
      <w:r>
        <w:rPr>
          <w:rStyle w:val="37"/>
        </w:rPr>
        <w:t>2</w:t>
      </w:r>
      <w:r>
        <w:rPr>
          <w:rStyle w:val="37"/>
          <w:rFonts w:hint="eastAsia"/>
        </w:rPr>
        <w:t xml:space="preserve"> 规范性引用文件</w:t>
      </w:r>
      <w:r>
        <w:tab/>
      </w:r>
      <w:r>
        <w:fldChar w:fldCharType="begin" w:fldLock="1"/>
      </w:r>
      <w:r>
        <w:instrText xml:space="preserve"> PAGEREF _Toc2779781 \h </w:instrText>
      </w:r>
      <w:r>
        <w:fldChar w:fldCharType="separate"/>
      </w:r>
      <w:r>
        <w:t>1</w:t>
      </w:r>
      <w:r>
        <w:fldChar w:fldCharType="end"/>
      </w:r>
      <w:r>
        <w:rPr>
          <w:rStyle w:val="37"/>
        </w:rPr>
        <w:fldChar w:fldCharType="end"/>
      </w:r>
    </w:p>
    <w:p>
      <w:pPr>
        <w:pStyle w:val="17"/>
        <w:spacing w:before="78" w:after="78"/>
        <w:rPr>
          <w:rFonts w:ascii="Calibri" w:hAnsi="Calibri"/>
          <w:szCs w:val="22"/>
        </w:rPr>
      </w:pPr>
      <w:r>
        <w:rPr>
          <w:rStyle w:val="37"/>
        </w:rPr>
        <w:fldChar w:fldCharType="begin" w:fldLock="1"/>
      </w:r>
      <w:r>
        <w:rPr>
          <w:rStyle w:val="37"/>
        </w:rPr>
        <w:instrText xml:space="preserve"> </w:instrText>
      </w:r>
      <w:r>
        <w:instrText xml:space="preserve">HYPERLINK \l "_Toc2779782"</w:instrText>
      </w:r>
      <w:r>
        <w:rPr>
          <w:rStyle w:val="37"/>
        </w:rPr>
        <w:instrText xml:space="preserve"> </w:instrText>
      </w:r>
      <w:r>
        <w:rPr>
          <w:rStyle w:val="37"/>
        </w:rPr>
        <w:fldChar w:fldCharType="separate"/>
      </w:r>
      <w:r>
        <w:rPr>
          <w:rStyle w:val="37"/>
        </w:rPr>
        <w:t>3</w:t>
      </w:r>
      <w:r>
        <w:rPr>
          <w:rStyle w:val="37"/>
          <w:rFonts w:hint="eastAsia"/>
        </w:rPr>
        <w:t xml:space="preserve"> 加工工艺流程</w:t>
      </w:r>
      <w:r>
        <w:tab/>
      </w:r>
      <w:r>
        <w:fldChar w:fldCharType="begin" w:fldLock="1"/>
      </w:r>
      <w:r>
        <w:instrText xml:space="preserve"> PAGEREF _Toc2779782 \h </w:instrText>
      </w:r>
      <w:r>
        <w:fldChar w:fldCharType="separate"/>
      </w:r>
      <w:r>
        <w:t>1</w:t>
      </w:r>
      <w:r>
        <w:fldChar w:fldCharType="end"/>
      </w:r>
      <w:r>
        <w:rPr>
          <w:rStyle w:val="37"/>
        </w:rPr>
        <w:fldChar w:fldCharType="end"/>
      </w:r>
    </w:p>
    <w:p>
      <w:pPr>
        <w:pStyle w:val="17"/>
        <w:spacing w:before="78" w:after="78"/>
        <w:rPr>
          <w:rFonts w:ascii="Calibri" w:hAnsi="Calibri"/>
          <w:szCs w:val="22"/>
        </w:rPr>
      </w:pPr>
      <w:r>
        <w:rPr>
          <w:rStyle w:val="37"/>
        </w:rPr>
        <w:fldChar w:fldCharType="begin" w:fldLock="1"/>
      </w:r>
      <w:r>
        <w:rPr>
          <w:rStyle w:val="37"/>
        </w:rPr>
        <w:instrText xml:space="preserve"> </w:instrText>
      </w:r>
      <w:r>
        <w:instrText xml:space="preserve">HYPERLINK \l "_Toc2779785"</w:instrText>
      </w:r>
      <w:r>
        <w:rPr>
          <w:rStyle w:val="37"/>
        </w:rPr>
        <w:instrText xml:space="preserve"> </w:instrText>
      </w:r>
      <w:r>
        <w:rPr>
          <w:rStyle w:val="37"/>
        </w:rPr>
        <w:fldChar w:fldCharType="separate"/>
      </w:r>
      <w:r>
        <w:rPr>
          <w:rStyle w:val="37"/>
        </w:rPr>
        <w:t>4</w:t>
      </w:r>
      <w:r>
        <w:rPr>
          <w:rStyle w:val="37"/>
          <w:rFonts w:hint="eastAsia"/>
        </w:rPr>
        <w:t>　采收</w:t>
      </w:r>
      <w:r>
        <w:tab/>
      </w:r>
      <w:r>
        <w:fldChar w:fldCharType="begin" w:fldLock="1"/>
      </w:r>
      <w:r>
        <w:instrText xml:space="preserve"> PAGEREF _Toc2779785 \h </w:instrText>
      </w:r>
      <w:r>
        <w:fldChar w:fldCharType="separate"/>
      </w:r>
      <w:r>
        <w:t>1</w:t>
      </w:r>
      <w:r>
        <w:fldChar w:fldCharType="end"/>
      </w:r>
      <w:r>
        <w:rPr>
          <w:rStyle w:val="37"/>
        </w:rPr>
        <w:fldChar w:fldCharType="end"/>
      </w:r>
    </w:p>
    <w:p>
      <w:pPr>
        <w:pStyle w:val="17"/>
        <w:spacing w:before="78" w:after="78"/>
        <w:rPr>
          <w:rFonts w:ascii="Calibri" w:hAnsi="Calibri"/>
          <w:szCs w:val="22"/>
        </w:rPr>
      </w:pPr>
      <w:r>
        <w:rPr>
          <w:rStyle w:val="37"/>
        </w:rPr>
        <w:fldChar w:fldCharType="begin" w:fldLock="1"/>
      </w:r>
      <w:r>
        <w:rPr>
          <w:rStyle w:val="37"/>
        </w:rPr>
        <w:instrText xml:space="preserve"> </w:instrText>
      </w:r>
      <w:r>
        <w:instrText xml:space="preserve">HYPERLINK \l "_Toc2779789"</w:instrText>
      </w:r>
      <w:r>
        <w:rPr>
          <w:rStyle w:val="37"/>
        </w:rPr>
        <w:instrText xml:space="preserve"> </w:instrText>
      </w:r>
      <w:r>
        <w:rPr>
          <w:rStyle w:val="37"/>
        </w:rPr>
        <w:fldChar w:fldCharType="separate"/>
      </w:r>
      <w:r>
        <w:rPr>
          <w:rStyle w:val="37"/>
        </w:rPr>
        <w:t>5</w:t>
      </w:r>
      <w:r>
        <w:rPr>
          <w:rStyle w:val="37"/>
          <w:rFonts w:hint="eastAsia"/>
        </w:rPr>
        <w:t>　环境条件</w:t>
      </w:r>
      <w:r>
        <w:tab/>
      </w:r>
      <w:r>
        <w:fldChar w:fldCharType="begin" w:fldLock="1"/>
      </w:r>
      <w:r>
        <w:instrText xml:space="preserve"> PAGEREF _Toc2779789 \h </w:instrText>
      </w:r>
      <w:r>
        <w:fldChar w:fldCharType="separate"/>
      </w:r>
      <w:r>
        <w:t>2</w:t>
      </w:r>
      <w:r>
        <w:fldChar w:fldCharType="end"/>
      </w:r>
      <w:r>
        <w:rPr>
          <w:rStyle w:val="37"/>
        </w:rPr>
        <w:fldChar w:fldCharType="end"/>
      </w:r>
    </w:p>
    <w:p>
      <w:pPr>
        <w:pStyle w:val="17"/>
        <w:spacing w:before="78" w:after="78"/>
        <w:rPr>
          <w:rFonts w:ascii="Calibri" w:hAnsi="Calibri"/>
          <w:szCs w:val="22"/>
        </w:rPr>
      </w:pPr>
      <w:r>
        <w:rPr>
          <w:rStyle w:val="37"/>
        </w:rPr>
        <w:fldChar w:fldCharType="begin" w:fldLock="1"/>
      </w:r>
      <w:r>
        <w:rPr>
          <w:rStyle w:val="37"/>
        </w:rPr>
        <w:instrText xml:space="preserve"> </w:instrText>
      </w:r>
      <w:r>
        <w:instrText xml:space="preserve">HYPERLINK \l "_Toc2779790"</w:instrText>
      </w:r>
      <w:r>
        <w:rPr>
          <w:rStyle w:val="37"/>
        </w:rPr>
        <w:instrText xml:space="preserve"> </w:instrText>
      </w:r>
      <w:r>
        <w:rPr>
          <w:rStyle w:val="37"/>
        </w:rPr>
        <w:fldChar w:fldCharType="separate"/>
      </w:r>
      <w:r>
        <w:rPr>
          <w:rStyle w:val="37"/>
        </w:rPr>
        <w:t>6</w:t>
      </w:r>
      <w:r>
        <w:rPr>
          <w:rStyle w:val="37"/>
          <w:rFonts w:hint="eastAsia"/>
        </w:rPr>
        <w:t>　加工</w:t>
      </w:r>
      <w:r>
        <w:tab/>
      </w:r>
      <w:r>
        <w:fldChar w:fldCharType="begin" w:fldLock="1"/>
      </w:r>
      <w:r>
        <w:instrText xml:space="preserve"> PAGEREF _Toc2779790 \h </w:instrText>
      </w:r>
      <w:r>
        <w:fldChar w:fldCharType="separate"/>
      </w:r>
      <w:r>
        <w:t>2</w:t>
      </w:r>
      <w:r>
        <w:fldChar w:fldCharType="end"/>
      </w:r>
      <w:r>
        <w:rPr>
          <w:rStyle w:val="37"/>
        </w:rPr>
        <w:fldChar w:fldCharType="end"/>
      </w:r>
    </w:p>
    <w:p>
      <w:pPr>
        <w:pStyle w:val="17"/>
        <w:spacing w:before="78" w:after="78"/>
        <w:rPr>
          <w:rFonts w:ascii="Calibri" w:hAnsi="Calibri"/>
          <w:szCs w:val="22"/>
        </w:rPr>
      </w:pPr>
      <w:r>
        <w:rPr>
          <w:rStyle w:val="37"/>
        </w:rPr>
        <w:fldChar w:fldCharType="begin" w:fldLock="1"/>
      </w:r>
      <w:r>
        <w:rPr>
          <w:rStyle w:val="37"/>
        </w:rPr>
        <w:instrText xml:space="preserve"> </w:instrText>
      </w:r>
      <w:r>
        <w:instrText xml:space="preserve">HYPERLINK \l "_Toc2779798"</w:instrText>
      </w:r>
      <w:r>
        <w:rPr>
          <w:rStyle w:val="37"/>
        </w:rPr>
        <w:instrText xml:space="preserve"> </w:instrText>
      </w:r>
      <w:r>
        <w:rPr>
          <w:rStyle w:val="37"/>
        </w:rPr>
        <w:fldChar w:fldCharType="separate"/>
      </w:r>
      <w:r>
        <w:rPr>
          <w:rStyle w:val="37"/>
        </w:rPr>
        <w:t>7</w:t>
      </w:r>
      <w:r>
        <w:rPr>
          <w:rStyle w:val="37"/>
          <w:rFonts w:hint="eastAsia"/>
        </w:rPr>
        <w:t>　质量要求</w:t>
      </w:r>
      <w:r>
        <w:tab/>
      </w:r>
      <w:r>
        <w:fldChar w:fldCharType="begin" w:fldLock="1"/>
      </w:r>
      <w:r>
        <w:instrText xml:space="preserve"> PAGEREF _Toc2779798 \h </w:instrText>
      </w:r>
      <w:r>
        <w:fldChar w:fldCharType="separate"/>
      </w:r>
      <w:r>
        <w:t>3</w:t>
      </w:r>
      <w:r>
        <w:fldChar w:fldCharType="end"/>
      </w:r>
      <w:r>
        <w:rPr>
          <w:rStyle w:val="37"/>
        </w:rPr>
        <w:fldChar w:fldCharType="end"/>
      </w:r>
    </w:p>
    <w:p>
      <w:pPr>
        <w:pStyle w:val="17"/>
        <w:spacing w:before="78" w:after="78"/>
        <w:rPr>
          <w:rFonts w:ascii="Calibri" w:hAnsi="Calibri"/>
          <w:szCs w:val="22"/>
        </w:rPr>
      </w:pPr>
      <w:r>
        <w:rPr>
          <w:rStyle w:val="37"/>
        </w:rPr>
        <w:fldChar w:fldCharType="begin" w:fldLock="1"/>
      </w:r>
      <w:r>
        <w:rPr>
          <w:rStyle w:val="37"/>
        </w:rPr>
        <w:instrText xml:space="preserve"> </w:instrText>
      </w:r>
      <w:r>
        <w:instrText xml:space="preserve">HYPERLINK \l "_Toc2779799"</w:instrText>
      </w:r>
      <w:r>
        <w:rPr>
          <w:rStyle w:val="37"/>
        </w:rPr>
        <w:instrText xml:space="preserve"> </w:instrText>
      </w:r>
      <w:r>
        <w:rPr>
          <w:rStyle w:val="37"/>
        </w:rPr>
        <w:fldChar w:fldCharType="separate"/>
      </w:r>
      <w:r>
        <w:rPr>
          <w:rStyle w:val="37"/>
        </w:rPr>
        <w:t>8</w:t>
      </w:r>
      <w:r>
        <w:rPr>
          <w:rStyle w:val="37"/>
          <w:rFonts w:hint="eastAsia"/>
        </w:rPr>
        <w:t>　包装和贮藏</w:t>
      </w:r>
      <w:r>
        <w:tab/>
      </w:r>
      <w:r>
        <w:fldChar w:fldCharType="begin" w:fldLock="1"/>
      </w:r>
      <w:r>
        <w:instrText xml:space="preserve"> PAGEREF _Toc2779799 \h </w:instrText>
      </w:r>
      <w:r>
        <w:fldChar w:fldCharType="separate"/>
      </w:r>
      <w:r>
        <w:t>3</w:t>
      </w:r>
      <w:r>
        <w:fldChar w:fldCharType="end"/>
      </w:r>
      <w:r>
        <w:rPr>
          <w:rStyle w:val="37"/>
        </w:rPr>
        <w:fldChar w:fldCharType="end"/>
      </w:r>
    </w:p>
    <w:p>
      <w:pPr>
        <w:pStyle w:val="21"/>
        <w:rPr>
          <w:rFonts w:hint="eastAsia"/>
        </w:rPr>
      </w:pPr>
      <w:r>
        <w:fldChar w:fldCharType="end"/>
      </w:r>
    </w:p>
    <w:p>
      <w:pPr>
        <w:pStyle w:val="107"/>
        <w:rPr>
          <w:rFonts w:hint="eastAsia"/>
        </w:rPr>
      </w:pPr>
      <w:bookmarkStart w:id="21" w:name="_Toc2779779"/>
      <w:r>
        <w:rPr>
          <w:rFonts w:hint="eastAsia"/>
        </w:rPr>
        <w:t>前</w:t>
      </w:r>
      <w:bookmarkStart w:id="22" w:name="BKQY"/>
      <w:r>
        <w:rPr>
          <w:rFonts w:hint="eastAsia" w:ascii="MS Mincho" w:hAnsi="MS Mincho" w:eastAsia="MS Mincho" w:cs="MS Mincho"/>
        </w:rPr>
        <w:t>  </w:t>
      </w:r>
      <w:r>
        <w:rPr>
          <w:rFonts w:hint="eastAsia"/>
        </w:rPr>
        <w:t>言</w:t>
      </w:r>
      <w:bookmarkEnd w:id="21"/>
      <w:bookmarkEnd w:id="22"/>
    </w:p>
    <w:p>
      <w:pPr>
        <w:pStyle w:val="21"/>
        <w:rPr>
          <w:rFonts w:hint="eastAsia" w:hAnsi="宋体"/>
        </w:rPr>
      </w:pPr>
      <w:r>
        <w:rPr>
          <w:rFonts w:hint="eastAsia"/>
        </w:rPr>
        <w:t>本标准</w:t>
      </w:r>
      <w:r>
        <w:rPr>
          <w:rFonts w:hAnsi="宋体"/>
        </w:rPr>
        <w:t>按照</w:t>
      </w:r>
      <w:r>
        <w:t xml:space="preserve"> GB/T 1.1-2009 </w:t>
      </w:r>
      <w:r>
        <w:rPr>
          <w:rFonts w:hAnsi="宋体"/>
        </w:rPr>
        <w:t>给出的规则起草</w:t>
      </w:r>
    </w:p>
    <w:p>
      <w:pPr>
        <w:pStyle w:val="21"/>
        <w:rPr>
          <w:rFonts w:hint="eastAsia" w:hAnsi="宋体"/>
        </w:rPr>
      </w:pPr>
      <w:r>
        <w:rPr>
          <w:rFonts w:hint="eastAsia" w:hAnsi="宋体"/>
        </w:rPr>
        <w:t>本标准由     提出并归口。</w:t>
      </w:r>
    </w:p>
    <w:p>
      <w:pPr>
        <w:pStyle w:val="21"/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本标准起草单位：</w:t>
      </w:r>
    </w:p>
    <w:p>
      <w:pPr>
        <w:pStyle w:val="21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14:textFill>
            <w14:solidFill>
              <w14:schemeClr w14:val="tx1"/>
            </w14:solidFill>
          </w14:textFill>
        </w:rPr>
        <w:t>本标准主要起草人：</w:t>
      </w:r>
    </w:p>
    <w:p>
      <w:pPr>
        <w:pStyle w:val="21"/>
        <w:rPr>
          <w:color w:val="FF0000"/>
        </w:rPr>
        <w:sectPr>
          <w:headerReference r:id="rId3" w:type="default"/>
          <w:footerReference r:id="rId4" w:type="default"/>
          <w:pgSz w:w="11906" w:h="16838"/>
          <w:pgMar w:top="567" w:right="1134" w:bottom="1134" w:left="1418" w:header="1418" w:footer="1134" w:gutter="0"/>
          <w:pgNumType w:fmt="upperRoman" w:start="1"/>
          <w:cols w:space="425" w:num="1"/>
          <w:formProt w:val="0"/>
          <w:docGrid w:type="lines" w:linePitch="312" w:charSpace="0"/>
        </w:sectPr>
      </w:pPr>
    </w:p>
    <w:p>
      <w:pPr>
        <w:pStyle w:val="47"/>
        <w:rPr>
          <w:rFonts w:hint="eastAsia"/>
        </w:rPr>
      </w:pPr>
      <w:r>
        <w:rPr>
          <w:rFonts w:hint="eastAsia"/>
        </w:rPr>
        <w:t>中</w:t>
      </w:r>
      <w:bookmarkStart w:id="23" w:name="StandardName"/>
      <w:r>
        <w:rPr>
          <w:rFonts w:hint="eastAsia"/>
        </w:rPr>
        <w:t>药材加工技术规程  百合</w:t>
      </w:r>
      <w:bookmarkEnd w:id="23"/>
    </w:p>
    <w:p>
      <w:pPr>
        <w:pStyle w:val="42"/>
        <w:rPr>
          <w:rFonts w:hint="eastAsia"/>
        </w:rPr>
      </w:pPr>
      <w:bookmarkStart w:id="24" w:name="_Toc2779780"/>
      <w:r>
        <w:rPr>
          <w:rFonts w:hint="eastAsia"/>
        </w:rPr>
        <w:t>范围</w:t>
      </w:r>
      <w:bookmarkEnd w:id="24"/>
    </w:p>
    <w:p>
      <w:pPr>
        <w:pStyle w:val="21"/>
      </w:pPr>
      <w:r>
        <w:rPr>
          <w:rFonts w:hint="eastAsia"/>
        </w:rPr>
        <w:t>本标准规定了百合的加工工艺流程、采收、干燥、包装和贮藏的要求。</w:t>
      </w:r>
    </w:p>
    <w:p>
      <w:pPr>
        <w:pStyle w:val="21"/>
        <w:rPr>
          <w:rFonts w:hint="eastAsia"/>
        </w:rPr>
      </w:pPr>
      <w:r>
        <w:rPr>
          <w:rFonts w:hint="eastAsia"/>
        </w:rPr>
        <w:t>本标准适用于百合的加工。</w:t>
      </w:r>
    </w:p>
    <w:p>
      <w:pPr>
        <w:pStyle w:val="42"/>
        <w:rPr>
          <w:rFonts w:hint="eastAsia"/>
        </w:rPr>
      </w:pPr>
      <w:bookmarkStart w:id="25" w:name="_Toc2779781"/>
      <w:r>
        <w:rPr>
          <w:rFonts w:hint="eastAsia"/>
        </w:rPr>
        <w:t>规范性引用文件</w:t>
      </w:r>
      <w:bookmarkEnd w:id="25"/>
    </w:p>
    <w:p>
      <w:pPr>
        <w:pStyle w:val="21"/>
        <w:rPr>
          <w:rFonts w:hint="eastAsia"/>
        </w:rPr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8"/>
        <w:spacing w:line="269" w:lineRule="exact"/>
        <w:ind w:left="537"/>
        <w:rPr>
          <w:rFonts w:hint="eastAsia"/>
        </w:rPr>
      </w:pPr>
      <w:r>
        <w:rPr>
          <w:rFonts w:hint="eastAsia"/>
        </w:rPr>
        <w:t>GB/T 191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包装储运图示标志</w:t>
      </w:r>
    </w:p>
    <w:p>
      <w:pPr>
        <w:pStyle w:val="8"/>
        <w:spacing w:line="269" w:lineRule="exact"/>
        <w:ind w:left="537"/>
        <w:rPr>
          <w:rFonts w:hint="eastAsia"/>
        </w:rPr>
      </w:pPr>
      <w:r>
        <w:rPr>
          <w:rFonts w:hint="eastAsia"/>
        </w:rPr>
        <w:t>GB 2760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食品安全国家标准 食品添加剂使用标准</w:t>
      </w:r>
    </w:p>
    <w:p>
      <w:pPr>
        <w:pStyle w:val="8"/>
        <w:spacing w:before="43"/>
        <w:ind w:left="537"/>
        <w:rPr>
          <w:rFonts w:hint="eastAsia"/>
        </w:rPr>
      </w:pPr>
      <w:r>
        <w:rPr>
          <w:rFonts w:hint="eastAsia"/>
        </w:rPr>
        <w:t>GB 5749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pacing w:val="-1"/>
        </w:rPr>
        <w:t>生活饮用水卫生标准</w:t>
      </w:r>
    </w:p>
    <w:p>
      <w:pPr>
        <w:pStyle w:val="8"/>
        <w:spacing w:before="43"/>
        <w:ind w:left="537"/>
        <w:rPr>
          <w:rFonts w:hint="eastAsia"/>
          <w:spacing w:val="-1"/>
          <w:highlight w:val="none"/>
        </w:rPr>
      </w:pPr>
      <w:r>
        <w:rPr>
          <w:rFonts w:hint="eastAsia"/>
          <w:highlight w:val="none"/>
        </w:rPr>
        <w:t>GB 7718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spacing w:val="-1"/>
          <w:highlight w:val="none"/>
        </w:rPr>
        <w:t>食品安全国家标准 预包装食品标签通则</w:t>
      </w:r>
    </w:p>
    <w:p>
      <w:pPr>
        <w:pStyle w:val="8"/>
        <w:spacing w:before="43"/>
        <w:ind w:left="537"/>
        <w:rPr>
          <w:rFonts w:hint="eastAsia"/>
          <w:spacing w:val="-1"/>
          <w:highlight w:val="none"/>
        </w:rPr>
      </w:pPr>
      <w:r>
        <w:rPr>
          <w:rFonts w:hint="eastAsia"/>
          <w:highlight w:val="none"/>
        </w:rPr>
        <w:t>GB 14881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spacing w:val="-1"/>
          <w:highlight w:val="none"/>
        </w:rPr>
        <w:t>食品安全国家标准 食品生产通用卫生规范</w:t>
      </w:r>
    </w:p>
    <w:p>
      <w:pPr>
        <w:pStyle w:val="8"/>
        <w:spacing w:before="43" w:line="276" w:lineRule="auto"/>
        <w:ind w:left="537" w:right="4430"/>
        <w:rPr>
          <w:rFonts w:hint="eastAsia"/>
        </w:rPr>
      </w:pPr>
      <w:r>
        <w:rPr>
          <w:rFonts w:hint="eastAsia"/>
          <w:highlight w:val="none"/>
        </w:rPr>
        <w:t>SB/T 11182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中</w:t>
      </w:r>
      <w:r>
        <w:rPr>
          <w:rFonts w:hint="eastAsia"/>
        </w:rPr>
        <w:t>药材包装技术规范</w:t>
      </w:r>
    </w:p>
    <w:p>
      <w:pPr>
        <w:pStyle w:val="8"/>
        <w:spacing w:line="269" w:lineRule="exact"/>
        <w:ind w:left="537"/>
        <w:rPr>
          <w:rFonts w:hint="eastAsia"/>
        </w:rPr>
      </w:pPr>
      <w:r>
        <w:rPr>
          <w:rFonts w:hint="eastAsia"/>
        </w:rPr>
        <w:t>《中华人民共和国药典》2015年版（一部）</w:t>
      </w:r>
    </w:p>
    <w:p>
      <w:pPr>
        <w:pStyle w:val="42"/>
        <w:rPr>
          <w:rFonts w:hint="eastAsia"/>
        </w:rPr>
      </w:pPr>
      <w:bookmarkStart w:id="26" w:name="_Toc2779782"/>
      <w:r>
        <w:rPr>
          <w:rFonts w:hint="eastAsia"/>
        </w:rPr>
        <w:t>加工工艺流程</w:t>
      </w:r>
      <w:bookmarkEnd w:id="26"/>
    </w:p>
    <w:p>
      <w:pPr>
        <w:pStyle w:val="39"/>
        <w:rPr>
          <w:rFonts w:hint="eastAsia"/>
        </w:rPr>
      </w:pPr>
      <w:bookmarkStart w:id="27" w:name="_Toc2779783"/>
      <w:r>
        <w:rPr>
          <w:rFonts w:hint="eastAsia"/>
        </w:rPr>
        <w:t>原药加工工艺</w:t>
      </w:r>
      <w:bookmarkEnd w:id="27"/>
    </w:p>
    <w:p>
      <w:pPr>
        <w:pStyle w:val="21"/>
        <w:rPr>
          <w:rFonts w:hint="eastAsia"/>
        </w:rPr>
      </w:pPr>
      <w:r>
        <w:rPr>
          <w:rFonts w:hint="eastAsia"/>
        </w:rPr>
        <w:t>采收→清洗→剥片护色→</w:t>
      </w:r>
      <w:r>
        <w:rPr>
          <w:rFonts w:hint="eastAsia"/>
          <w:highlight w:val="none"/>
          <w:lang w:eastAsia="zh-CN"/>
        </w:rPr>
        <w:t>沸水</w:t>
      </w:r>
      <w:r>
        <w:rPr>
          <w:rFonts w:hint="eastAsia"/>
          <w:highlight w:val="none"/>
        </w:rPr>
        <w:t>烫</w:t>
      </w:r>
      <w:r>
        <w:rPr>
          <w:rFonts w:hint="eastAsia"/>
        </w:rPr>
        <w:t>煮→冷水漂洗→装盘装车→热风循环烘箱</w:t>
      </w:r>
      <w:r>
        <w:rPr>
          <w:rFonts w:hint="eastAsia"/>
          <w:lang w:eastAsia="zh-CN"/>
        </w:rPr>
        <w:t>干燥</w:t>
      </w:r>
      <w:r>
        <w:rPr>
          <w:rFonts w:hint="eastAsia"/>
        </w:rPr>
        <w:t>→分级→包装</w:t>
      </w:r>
    </w:p>
    <w:p>
      <w:pPr>
        <w:pStyle w:val="39"/>
        <w:rPr>
          <w:rFonts w:hint="eastAsia"/>
        </w:rPr>
      </w:pPr>
      <w:bookmarkStart w:id="28" w:name="_Toc2779784"/>
      <w:r>
        <w:rPr>
          <w:rFonts w:hint="eastAsia"/>
        </w:rPr>
        <w:t>产地趁鲜加工工艺</w:t>
      </w:r>
      <w:bookmarkEnd w:id="28"/>
    </w:p>
    <w:p>
      <w:pPr>
        <w:pStyle w:val="21"/>
        <w:rPr>
          <w:rFonts w:hint="eastAsia" w:eastAsia="宋体"/>
          <w:lang w:eastAsia="zh-CN"/>
        </w:rPr>
      </w:pPr>
      <w:r>
        <w:rPr>
          <w:rFonts w:hint="eastAsia"/>
        </w:rPr>
        <w:t>采收→清洗→剥片护色→沸水烫煮→冷水漂洗→装盘装车→微波干燥→分级→</w:t>
      </w:r>
      <w:r>
        <w:rPr>
          <w:rFonts w:hint="eastAsia"/>
          <w:lang w:eastAsia="zh-CN"/>
        </w:rPr>
        <w:t>包装</w:t>
      </w:r>
    </w:p>
    <w:p>
      <w:pPr>
        <w:pStyle w:val="42"/>
      </w:pPr>
      <w:bookmarkStart w:id="29" w:name="_Toc2779785"/>
      <w:r>
        <w:rPr>
          <w:rFonts w:hint="eastAsia"/>
        </w:rPr>
        <w:t>采收</w:t>
      </w:r>
      <w:bookmarkEnd w:id="29"/>
    </w:p>
    <w:p>
      <w:pPr>
        <w:pStyle w:val="39"/>
        <w:rPr>
          <w:rFonts w:hint="eastAsia"/>
        </w:rPr>
      </w:pPr>
      <w:bookmarkStart w:id="30" w:name="_Toc2779786"/>
      <w:r>
        <w:rPr>
          <w:rFonts w:hint="eastAsia"/>
        </w:rPr>
        <w:t>年限</w:t>
      </w:r>
      <w:bookmarkEnd w:id="30"/>
    </w:p>
    <w:p>
      <w:pPr>
        <w:pStyle w:val="21"/>
        <w:rPr>
          <w:rFonts w:hint="eastAsia"/>
        </w:rPr>
      </w:pPr>
      <w:r>
        <w:rPr>
          <w:rFonts w:hint="eastAsia"/>
        </w:rPr>
        <w:t>一年生、两年生或多年生。</w:t>
      </w:r>
    </w:p>
    <w:p>
      <w:pPr>
        <w:pStyle w:val="39"/>
      </w:pPr>
      <w:bookmarkStart w:id="31" w:name="_Toc2779787"/>
      <w:r>
        <w:rPr>
          <w:rFonts w:hint="eastAsia"/>
        </w:rPr>
        <w:t>时间</w:t>
      </w:r>
      <w:bookmarkEnd w:id="31"/>
    </w:p>
    <w:p>
      <w:pPr>
        <w:pStyle w:val="21"/>
        <w:spacing w:line="360" w:lineRule="auto"/>
        <w:rPr>
          <w:rFonts w:hint="eastAsia"/>
        </w:rPr>
      </w:pPr>
      <w:r>
        <w:rPr>
          <w:rFonts w:hint="eastAsia"/>
          <w:lang w:eastAsia="zh-CN"/>
        </w:rPr>
        <w:t>种</w:t>
      </w:r>
      <w:r>
        <w:rPr>
          <w:rFonts w:hint="eastAsia"/>
        </w:rPr>
        <w:t>植后的第二年秋季收获，南方8～9月份，北方9～10月份地上部分茎叶枯黄、植株落叶至地上茎完全枯死，为采收适期。</w:t>
      </w:r>
    </w:p>
    <w:p>
      <w:pPr>
        <w:pStyle w:val="39"/>
        <w:rPr>
          <w:rFonts w:hint="eastAsia"/>
        </w:rPr>
      </w:pPr>
      <w:bookmarkStart w:id="32" w:name="_Toc2779788"/>
      <w:r>
        <w:rPr>
          <w:rFonts w:hint="eastAsia"/>
        </w:rPr>
        <w:t>方法</w:t>
      </w:r>
      <w:bookmarkEnd w:id="32"/>
    </w:p>
    <w:p>
      <w:pPr>
        <w:pStyle w:val="21"/>
        <w:rPr>
          <w:rFonts w:hint="eastAsia"/>
        </w:rPr>
      </w:pPr>
      <w:r>
        <w:rPr>
          <w:rFonts w:hint="eastAsia"/>
        </w:rPr>
        <w:t>采收在晴天进行，挖起全株，除去茎杆，剪去茎基部须根。</w:t>
      </w:r>
    </w:p>
    <w:p>
      <w:pPr>
        <w:pStyle w:val="42"/>
        <w:rPr>
          <w:rFonts w:hint="eastAsia"/>
        </w:rPr>
      </w:pPr>
      <w:bookmarkStart w:id="33" w:name="_Toc2779789"/>
      <w:r>
        <w:rPr>
          <w:rFonts w:hint="eastAsia"/>
        </w:rPr>
        <w:t>环境条件</w:t>
      </w:r>
      <w:bookmarkEnd w:id="33"/>
    </w:p>
    <w:p>
      <w:pPr>
        <w:pStyle w:val="21"/>
        <w:ind w:firstLine="416"/>
        <w:rPr>
          <w:rFonts w:hint="eastAsia"/>
        </w:rPr>
      </w:pPr>
      <w:r>
        <w:rPr>
          <w:rFonts w:hint="eastAsia"/>
          <w:spacing w:val="-1"/>
        </w:rPr>
        <w:t>生产操作场所，应按照</w:t>
      </w:r>
      <w:r>
        <w:rPr>
          <w:rFonts w:hint="eastAsia"/>
          <w:spacing w:val="-1"/>
          <w:highlight w:val="none"/>
        </w:rPr>
        <w:t xml:space="preserve"> </w:t>
      </w:r>
      <w:r>
        <w:rPr>
          <w:rFonts w:hint="eastAsia"/>
          <w:highlight w:val="none"/>
        </w:rPr>
        <w:t xml:space="preserve">GB 14881 </w:t>
      </w:r>
      <w:r>
        <w:rPr>
          <w:rFonts w:hint="eastAsia"/>
        </w:rPr>
        <w:t>的规定</w:t>
      </w:r>
      <w:r>
        <w:rPr>
          <w:rFonts w:hint="eastAsia"/>
          <w:lang w:eastAsia="zh-CN"/>
        </w:rPr>
        <w:t>执行</w:t>
      </w:r>
      <w:r>
        <w:rPr>
          <w:rFonts w:hint="eastAsia"/>
        </w:rPr>
        <w:t>。</w:t>
      </w:r>
    </w:p>
    <w:p>
      <w:pPr>
        <w:pStyle w:val="42"/>
      </w:pPr>
      <w:bookmarkStart w:id="34" w:name="_Toc2779790"/>
      <w:r>
        <w:rPr>
          <w:rFonts w:hint="eastAsia"/>
        </w:rPr>
        <w:t>加工</w:t>
      </w:r>
      <w:bookmarkEnd w:id="34"/>
    </w:p>
    <w:p>
      <w:pPr>
        <w:pStyle w:val="39"/>
        <w:rPr>
          <w:rFonts w:hint="eastAsia"/>
        </w:rPr>
      </w:pPr>
      <w:bookmarkStart w:id="35" w:name="_Toc2779791"/>
      <w:r>
        <w:rPr>
          <w:rFonts w:hint="eastAsia"/>
        </w:rPr>
        <w:t>清洗</w:t>
      </w:r>
      <w:bookmarkEnd w:id="35"/>
    </w:p>
    <w:p>
      <w:pPr>
        <w:pStyle w:val="43"/>
        <w:spacing w:before="156" w:after="156"/>
        <w:rPr>
          <w:rFonts w:hint="eastAsia"/>
        </w:rPr>
      </w:pPr>
      <w:r>
        <w:rPr>
          <w:rFonts w:hint="eastAsia" w:ascii="宋体" w:hAnsi="Times New Roman" w:eastAsia="宋体" w:cs="Times New Roman"/>
          <w:spacing w:val="-1"/>
          <w:sz w:val="21"/>
          <w:szCs w:val="22"/>
          <w:lang w:val="en-US" w:eastAsia="zh-CN" w:bidi="ar-SA"/>
        </w:rPr>
        <w:t>将百合原料用清水反复清洗至表面无泥沙，生产加工用水应符合 GB 5749 的规定。</w:t>
      </w:r>
    </w:p>
    <w:p>
      <w:pPr>
        <w:pStyle w:val="43"/>
        <w:spacing w:before="156" w:after="156"/>
        <w:rPr>
          <w:rFonts w:hint="eastAsia" w:ascii="宋体" w:hAnsi="Times New Roman" w:eastAsia="宋体" w:cs="Times New Roman"/>
          <w:spacing w:val="-1"/>
          <w:sz w:val="21"/>
          <w:szCs w:val="22"/>
          <w:lang w:val="en-US" w:eastAsia="zh-CN" w:bidi="ar-SA"/>
        </w:rPr>
      </w:pPr>
      <w:r>
        <w:rPr>
          <w:rFonts w:hint="eastAsia" w:ascii="宋体" w:hAnsi="Times New Roman" w:eastAsia="宋体" w:cs="Times New Roman"/>
          <w:spacing w:val="-1"/>
          <w:sz w:val="21"/>
          <w:szCs w:val="22"/>
          <w:lang w:val="en-US" w:eastAsia="zh-CN" w:bidi="ar-SA"/>
        </w:rPr>
        <w:t>清洗过程中不要阳光直晒,以防变色。</w:t>
      </w:r>
    </w:p>
    <w:p>
      <w:pPr>
        <w:pStyle w:val="39"/>
        <w:rPr>
          <w:rFonts w:hint="eastAsia"/>
        </w:rPr>
      </w:pPr>
      <w:bookmarkStart w:id="36" w:name="_Toc2779792"/>
      <w:r>
        <w:rPr>
          <w:rFonts w:hint="eastAsia"/>
        </w:rPr>
        <w:t>剥片护色</w:t>
      </w:r>
      <w:bookmarkEnd w:id="36"/>
    </w:p>
    <w:p>
      <w:pPr>
        <w:pStyle w:val="21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剥去外围枯、老废片和茎底盘等废料,再将百合球的片子按“外、中、内”片,分成多个类别，分别装入竹筐或网袋。</w:t>
      </w:r>
    </w:p>
    <w:p>
      <w:pPr>
        <w:pStyle w:val="39"/>
        <w:rPr>
          <w:rFonts w:hint="eastAsia"/>
        </w:rPr>
      </w:pPr>
      <w:bookmarkStart w:id="37" w:name="_Toc2779793"/>
      <w:r>
        <w:rPr>
          <w:rFonts w:hint="eastAsia"/>
        </w:rPr>
        <w:t>沸水烫煮</w:t>
      </w:r>
      <w:bookmarkEnd w:id="37"/>
    </w:p>
    <w:p>
      <w:pPr>
        <w:pStyle w:val="21"/>
        <w:spacing w:line="360" w:lineRule="auto"/>
      </w:pPr>
      <w:r>
        <w:rPr>
          <w:rFonts w:hint="eastAsia"/>
        </w:rPr>
        <w:t>用水量和下片量的比例为10:3,放入量不宜过多。将洗净的百合瓣分级下水沸水锅中，用木板在锅中缓缓搅动，以便烫煮均匀。烫煮时锅内的蒸汽压力以2公斤/平方厘米为宜。百合鳞片烫煮的适宜时间（以鲜料下锅后计时）分别为：</w:t>
      </w:r>
      <w:r>
        <w:rPr>
          <w:rFonts w:hint="eastAsia"/>
          <w:lang w:eastAsia="zh-CN"/>
        </w:rPr>
        <w:t>外</w:t>
      </w:r>
      <w:r>
        <w:rPr>
          <w:rFonts w:hint="eastAsia"/>
        </w:rPr>
        <w:t>片约40秒、中片约20秒、</w:t>
      </w:r>
      <w:r>
        <w:rPr>
          <w:rFonts w:hint="eastAsia"/>
          <w:lang w:eastAsia="zh-CN"/>
        </w:rPr>
        <w:t>内</w:t>
      </w:r>
      <w:r>
        <w:rPr>
          <w:rFonts w:hint="eastAsia"/>
        </w:rPr>
        <w:t>片5秒。</w:t>
      </w:r>
    </w:p>
    <w:p>
      <w:pPr>
        <w:pStyle w:val="39"/>
        <w:spacing w:line="360" w:lineRule="auto"/>
        <w:rPr>
          <w:rFonts w:hint="eastAsia"/>
        </w:rPr>
      </w:pPr>
      <w:bookmarkStart w:id="38" w:name="_Toc2779794"/>
      <w:r>
        <w:rPr>
          <w:rFonts w:hint="eastAsia"/>
        </w:rPr>
        <w:t>冷水漂洗</w:t>
      </w:r>
      <w:bookmarkEnd w:id="38"/>
      <w:r>
        <w:rPr>
          <w:rFonts w:hint="eastAsia"/>
          <w:lang w:val="en-US" w:eastAsia="zh-CN"/>
        </w:rPr>
        <w:t xml:space="preserve"> </w:t>
      </w:r>
    </w:p>
    <w:p>
      <w:pPr>
        <w:pStyle w:val="39"/>
        <w:spacing w:line="360" w:lineRule="auto"/>
        <w:rPr>
          <w:rFonts w:hint="eastAsia"/>
        </w:rPr>
      </w:pPr>
      <w:r>
        <w:rPr>
          <w:rFonts w:hint="eastAsia"/>
        </w:rPr>
        <w:t>片子从锅中捞出(网袋装片即可提出)后,立即倒(投)入冷却的流动清水中进行冷却并漂洗，时间不</w:t>
      </w:r>
      <w:r>
        <w:rPr>
          <w:rFonts w:hint="eastAsia"/>
          <w:color w:val="auto"/>
        </w:rPr>
        <w:t>少于30</w:t>
      </w:r>
      <w:r>
        <w:rPr>
          <w:rFonts w:hint="eastAsia" w:ascii="MS Mincho" w:hAnsi="MS Mincho" w:eastAsia="MS Mincho" w:cs="MS Mincho"/>
          <w:color w:val="auto"/>
        </w:rPr>
        <w:t> </w:t>
      </w:r>
      <w:r>
        <w:rPr>
          <w:rFonts w:hint="eastAsia"/>
          <w:color w:val="auto"/>
        </w:rPr>
        <w:t>min</w:t>
      </w:r>
      <w:r>
        <w:rPr>
          <w:rFonts w:hint="eastAsia"/>
        </w:rPr>
        <w:t>，以除去残留二氧化硫及杂物。漂洗后捞出沥干水分。</w:t>
      </w:r>
    </w:p>
    <w:p>
      <w:pPr>
        <w:pStyle w:val="39"/>
        <w:rPr>
          <w:rFonts w:hint="eastAsia"/>
        </w:rPr>
      </w:pPr>
      <w:bookmarkStart w:id="39" w:name="_Toc2779795"/>
      <w:r>
        <w:rPr>
          <w:rFonts w:hint="eastAsia"/>
        </w:rPr>
        <w:t>装盘装车</w:t>
      </w:r>
      <w:bookmarkEnd w:id="39"/>
    </w:p>
    <w:p>
      <w:pPr>
        <w:pStyle w:val="21"/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</w:rPr>
        <w:t>装盘时，盘子的底部要留有空间，将烫好，沥好水的百合平铺在</w:t>
      </w:r>
      <w:r>
        <w:rPr>
          <w:rFonts w:hint="eastAsia"/>
          <w:szCs w:val="22"/>
        </w:rPr>
        <w:t>耐高温物料托盘</w:t>
      </w:r>
      <w:r>
        <w:rPr>
          <w:rFonts w:hint="eastAsia"/>
          <w:szCs w:val="22"/>
          <w:lang w:eastAsia="zh-CN"/>
        </w:rPr>
        <w:t>或履带上</w:t>
      </w:r>
      <w:r>
        <w:rPr>
          <w:rFonts w:hint="eastAsia"/>
          <w:szCs w:val="22"/>
        </w:rPr>
        <w:t>，</w:t>
      </w:r>
      <w:r>
        <w:rPr>
          <w:rFonts w:hint="eastAsia"/>
          <w:lang w:eastAsia="zh-CN"/>
        </w:rPr>
        <w:t>厚度不得超过</w:t>
      </w:r>
      <w:r>
        <w:rPr>
          <w:rFonts w:hint="eastAsia"/>
          <w:lang w:val="en-US" w:eastAsia="zh-CN"/>
        </w:rPr>
        <w:t>0.5cm。</w:t>
      </w:r>
    </w:p>
    <w:p>
      <w:pPr>
        <w:pStyle w:val="39"/>
        <w:rPr>
          <w:rFonts w:hint="eastAsia"/>
        </w:rPr>
      </w:pPr>
      <w:bookmarkStart w:id="40" w:name="_Toc2779796"/>
      <w:r>
        <w:rPr>
          <w:rFonts w:hint="eastAsia"/>
          <w:lang w:eastAsia="zh-CN"/>
        </w:rPr>
        <w:t>干燥：</w:t>
      </w:r>
    </w:p>
    <w:p>
      <w:pPr>
        <w:pStyle w:val="28"/>
        <w:widowControl/>
        <w:adjustRightInd w:val="0"/>
        <w:snapToGrid w:val="0"/>
        <w:spacing w:beforeLines="50" w:beforeAutospacing="0" w:afterLines="50" w:afterAutospacing="0" w:line="360" w:lineRule="auto"/>
        <w:jc w:val="both"/>
        <w:rPr>
          <w:rFonts w:hint="eastAsia"/>
          <w:sz w:val="21"/>
          <w:szCs w:val="21"/>
          <w:lang w:val="en-US"/>
        </w:rPr>
      </w:pPr>
      <w:r>
        <w:rPr>
          <w:rFonts w:hint="eastAsia" w:ascii="黑体" w:hAnsi="Times New Roman" w:eastAsia="黑体" w:cs="Times New Roman"/>
          <w:kern w:val="0"/>
          <w:sz w:val="21"/>
          <w:szCs w:val="21"/>
          <w:lang w:val="en-US" w:eastAsia="zh-CN" w:bidi="ar-SA"/>
        </w:rPr>
        <w:t xml:space="preserve">6.7.1 </w:t>
      </w:r>
      <w:r>
        <w:rPr>
          <w:rFonts w:hint="eastAsia"/>
          <w:sz w:val="21"/>
          <w:szCs w:val="21"/>
          <w:lang w:val="en-US" w:eastAsia="zh-CN"/>
        </w:rPr>
        <w:t>烘箱干燥：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温度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控制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60-70℃，每小时翻动1次，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达到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水分10</w:t>
      </w:r>
      <w:r>
        <w:rPr>
          <w:rFonts w:hint="eastAsia" w:ascii="宋体" w:hAnsi="宋体" w:eastAsia="宋体" w:cs="宋体"/>
          <w:sz w:val="21"/>
          <w:szCs w:val="21"/>
        </w:rPr>
        <w:t>±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="宋体" w:hAnsi="Times New Roman" w:eastAsia="宋体" w:cs="Times New Roman"/>
          <w:sz w:val="21"/>
          <w:szCs w:val="22"/>
          <w:lang w:val="en-US" w:eastAsia="zh-CN" w:bidi="ar-SA"/>
        </w:rPr>
        <w:t>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pStyle w:val="39"/>
        <w:numPr>
          <w:ilvl w:val="1"/>
          <w:numId w:val="0"/>
        </w:numPr>
        <w:ind w:leftChars="0"/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/>
          <w:lang w:val="en-US" w:eastAsia="zh-CN"/>
        </w:rPr>
        <w:t xml:space="preserve">6.7.2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-SA"/>
        </w:rPr>
        <w:t>微波干燥</w:t>
      </w:r>
      <w:bookmarkEnd w:id="40"/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-SA"/>
        </w:rPr>
        <w:t>：物料平铺均匀，控制履带的运行速度，达到水分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±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="宋体" w:hAnsi="Times New Roman" w:eastAsia="宋体" w:cs="Times New Roman"/>
          <w:sz w:val="21"/>
          <w:szCs w:val="22"/>
          <w:lang w:val="en-US" w:eastAsia="zh-CN" w:bidi="ar-SA"/>
        </w:rPr>
        <w:t>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pStyle w:val="21"/>
        <w:rPr>
          <w:rFonts w:hint="eastAsia" w:eastAsia="宋体"/>
          <w:lang w:eastAsia="zh-CN"/>
        </w:rPr>
      </w:pPr>
    </w:p>
    <w:p>
      <w:pPr>
        <w:pStyle w:val="21"/>
        <w:rPr>
          <w:rFonts w:hint="eastAsia"/>
        </w:rPr>
      </w:pPr>
    </w:p>
    <w:p>
      <w:pPr>
        <w:pStyle w:val="39"/>
        <w:rPr>
          <w:rFonts w:hint="eastAsia"/>
        </w:rPr>
      </w:pPr>
      <w:bookmarkStart w:id="41" w:name="_Toc2779797"/>
      <w:r>
        <w:rPr>
          <w:rFonts w:hint="eastAsia"/>
        </w:rPr>
        <w:t>分级</w:t>
      </w:r>
      <w:bookmarkEnd w:id="41"/>
    </w:p>
    <w:p>
      <w:pPr>
        <w:pStyle w:val="21"/>
        <w:rPr>
          <w:rFonts w:hint="eastAsia"/>
        </w:rPr>
      </w:pPr>
      <w:r>
        <w:rPr>
          <w:rFonts w:hint="eastAsia"/>
        </w:rPr>
        <w:t>分为甲、已、丙、丁四个等级：</w:t>
      </w:r>
    </w:p>
    <w:p>
      <w:pPr>
        <w:pStyle w:val="51"/>
        <w:rPr>
          <w:rFonts w:hint="eastAsia"/>
        </w:rPr>
      </w:pPr>
      <w:r>
        <w:rPr>
          <w:rFonts w:hint="eastAsia"/>
        </w:rPr>
        <w:t xml:space="preserve">甲级 : </w:t>
      </w:r>
      <w:r>
        <w:rPr>
          <w:rFonts w:hint="eastAsia" w:ascii="宋体" w:hAnsi="宋体"/>
        </w:rPr>
        <w:t>色泽鲜明，呈微黄色，全干洁净，片大肉厚，无霉烂、虫伤、麻色及灰碎等；</w:t>
      </w:r>
    </w:p>
    <w:p>
      <w:pPr>
        <w:pStyle w:val="51"/>
        <w:rPr>
          <w:rFonts w:hint="eastAsia"/>
        </w:rPr>
      </w:pPr>
      <w:r>
        <w:rPr>
          <w:rFonts w:hint="eastAsia" w:ascii="宋体" w:hAnsi="宋体"/>
        </w:rPr>
        <w:t xml:space="preserve">乙级 </w:t>
      </w:r>
      <w:r>
        <w:rPr>
          <w:rFonts w:hint="eastAsia"/>
        </w:rPr>
        <w:t xml:space="preserve">: </w:t>
      </w:r>
      <w:r>
        <w:rPr>
          <w:rFonts w:hint="eastAsia" w:ascii="宋体" w:hAnsi="宋体"/>
        </w:rPr>
        <w:t>色泽鲜明，呈微黄色，全干洁净，片较大肉厚，无霉烂、虫伤、麻色及灰碎等；</w:t>
      </w:r>
    </w:p>
    <w:p>
      <w:pPr>
        <w:pStyle w:val="51"/>
        <w:rPr>
          <w:rFonts w:hint="eastAsia"/>
        </w:rPr>
      </w:pPr>
      <w:r>
        <w:rPr>
          <w:rFonts w:hint="eastAsia" w:ascii="宋体" w:hAnsi="宋体"/>
        </w:rPr>
        <w:t xml:space="preserve">丙级 </w:t>
      </w:r>
      <w:r>
        <w:rPr>
          <w:rFonts w:hint="eastAsia"/>
        </w:rPr>
        <w:t xml:space="preserve">: </w:t>
      </w:r>
      <w:r>
        <w:rPr>
          <w:rFonts w:hint="eastAsia" w:ascii="宋体" w:hAnsi="宋体"/>
        </w:rPr>
        <w:t>色泽鲜明，全干洁净，无霉烂、虫伤、麻色及灰碎，斑点和黑边不超过每片面积的</w:t>
      </w:r>
      <w:r>
        <w:rPr>
          <w:rFonts w:hint="eastAsia"/>
        </w:rPr>
        <w:t>10%；</w:t>
      </w:r>
    </w:p>
    <w:p>
      <w:pPr>
        <w:pStyle w:val="51"/>
        <w:rPr>
          <w:rFonts w:hint="eastAsia"/>
        </w:rPr>
      </w:pPr>
      <w:r>
        <w:rPr>
          <w:rFonts w:hint="eastAsia" w:ascii="宋体" w:hAnsi="宋体"/>
        </w:rPr>
        <w:t xml:space="preserve">丁级 </w:t>
      </w:r>
      <w:r>
        <w:rPr>
          <w:rFonts w:hint="eastAsia"/>
        </w:rPr>
        <w:t>:</w:t>
      </w:r>
      <w:r>
        <w:rPr>
          <w:rFonts w:hint="eastAsia" w:ascii="宋体" w:hAnsi="宋体"/>
        </w:rPr>
        <w:t>色泽鲜明，全干洁净，无霉烂、虫伤、麻色及灰碎，斑点和黑边不超过每片面积的</w:t>
      </w:r>
      <w:r>
        <w:rPr>
          <w:rFonts w:hint="eastAsia"/>
        </w:rPr>
        <w:t>30%</w:t>
      </w:r>
      <w:r>
        <w:rPr>
          <w:rFonts w:hint="eastAsia" w:ascii="宋体" w:hAnsi="宋体"/>
        </w:rPr>
        <w:t>。</w:t>
      </w:r>
    </w:p>
    <w:p>
      <w:pPr>
        <w:pStyle w:val="42"/>
        <w:rPr>
          <w:rFonts w:hint="eastAsia"/>
        </w:rPr>
      </w:pPr>
      <w:bookmarkStart w:id="42" w:name="_Toc2779798"/>
      <w:r>
        <w:rPr>
          <w:rFonts w:hint="eastAsia"/>
        </w:rPr>
        <w:t>质量</w:t>
      </w:r>
      <w:r>
        <w:rPr>
          <w:rFonts w:hint="eastAsia"/>
          <w:lang w:eastAsia="zh-CN"/>
        </w:rPr>
        <w:t>与安全性</w:t>
      </w:r>
      <w:r>
        <w:rPr>
          <w:rFonts w:hint="eastAsia"/>
        </w:rPr>
        <w:t>要求</w:t>
      </w:r>
      <w:bookmarkEnd w:id="42"/>
    </w:p>
    <w:p>
      <w:pPr>
        <w:pStyle w:val="39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应符合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GB 2760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的规定。</w:t>
      </w:r>
    </w:p>
    <w:p>
      <w:pPr>
        <w:pStyle w:val="39"/>
        <w:rPr>
          <w:rFonts w:hint="eastAsia"/>
        </w:rPr>
      </w:pPr>
      <w:r>
        <w:rPr>
          <w:rFonts w:hint="eastAsia"/>
          <w:lang w:eastAsia="zh-CN"/>
        </w:rPr>
        <w:t>应</w:t>
      </w:r>
      <w:r>
        <w:rPr>
          <w:rFonts w:hint="eastAsia"/>
        </w:rPr>
        <w:t>符合《中华人民共和国药典》2015年版（一部）的规定。</w:t>
      </w:r>
    </w:p>
    <w:p>
      <w:pPr>
        <w:pStyle w:val="39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百合中药材及其饮片的二氧化硫残留量不得超过</w:t>
      </w:r>
      <w:r>
        <w:rPr>
          <w:rFonts w:hint="eastAsia"/>
          <w:highlight w:val="none"/>
          <w:lang w:val="en-US" w:eastAsia="zh-CN"/>
        </w:rPr>
        <w:t>150 mg/kg。</w:t>
      </w:r>
    </w:p>
    <w:p>
      <w:pPr>
        <w:pStyle w:val="42"/>
        <w:rPr>
          <w:rFonts w:hint="eastAsia"/>
        </w:rPr>
      </w:pPr>
      <w:bookmarkStart w:id="43" w:name="_Toc2779799"/>
      <w:r>
        <w:rPr>
          <w:rFonts w:hint="eastAsia"/>
        </w:rPr>
        <w:t>包装和贮藏</w:t>
      </w:r>
      <w:bookmarkEnd w:id="43"/>
    </w:p>
    <w:p>
      <w:pPr>
        <w:pStyle w:val="39"/>
        <w:rPr>
          <w:rFonts w:hint="eastAsia"/>
        </w:rPr>
      </w:pPr>
      <w:bookmarkStart w:id="44" w:name="_Toc2779800"/>
      <w:r>
        <w:rPr>
          <w:rFonts w:hint="eastAsia"/>
        </w:rPr>
        <w:t>包装</w:t>
      </w:r>
      <w:bookmarkEnd w:id="44"/>
    </w:p>
    <w:p>
      <w:pPr>
        <w:pStyle w:val="43"/>
        <w:spacing w:before="156" w:after="156"/>
        <w:rPr>
          <w:rFonts w:hint="eastAsia"/>
        </w:rPr>
      </w:pPr>
      <w:r>
        <w:rPr>
          <w:rFonts w:hint="eastAsia" w:ascii="宋体" w:eastAsia="宋体" w:cs="Times New Roman"/>
          <w:sz w:val="21"/>
          <w:szCs w:val="22"/>
          <w:lang w:val="en-US" w:eastAsia="zh-CN" w:bidi="ar-SA"/>
        </w:rPr>
        <w:t>采用</w:t>
      </w:r>
      <w:r>
        <w:rPr>
          <w:rFonts w:hint="eastAsia" w:ascii="宋体" w:hAnsi="Times New Roman" w:eastAsia="宋体" w:cs="Times New Roman"/>
          <w:sz w:val="21"/>
          <w:szCs w:val="22"/>
          <w:lang w:val="en-US" w:eastAsia="zh-CN" w:bidi="ar-SA"/>
        </w:rPr>
        <w:t>食品塑膜袋或麻袋分别包装，再装入纸箱或纤维袋中。包装材料应清洁、干燥、无污染、无异味、无破损。</w:t>
      </w:r>
    </w:p>
    <w:p>
      <w:pPr>
        <w:pStyle w:val="43"/>
        <w:spacing w:before="156" w:after="156"/>
        <w:rPr>
          <w:rFonts w:hint="eastAsia"/>
        </w:rPr>
      </w:pPr>
      <w:r>
        <w:rPr>
          <w:rFonts w:hint="eastAsia" w:ascii="宋体" w:hAnsi="Times New Roman" w:eastAsia="宋体" w:cs="Times New Roman"/>
          <w:sz w:val="21"/>
          <w:szCs w:val="22"/>
          <w:lang w:val="en-US" w:eastAsia="zh-CN" w:bidi="ar-SA"/>
        </w:rPr>
        <w:t>标签应按照 GB 7718 的规定执行，标识应按照 GB/T 191 的规定执行，包装应按照 SB/T 11182 的规定执行。</w:t>
      </w:r>
    </w:p>
    <w:p>
      <w:pPr>
        <w:pStyle w:val="39"/>
        <w:rPr>
          <w:rFonts w:hint="eastAsia"/>
        </w:rPr>
      </w:pPr>
      <w:bookmarkStart w:id="45" w:name="_Toc2779801"/>
      <w:r>
        <w:rPr>
          <w:rFonts w:hint="eastAsia"/>
        </w:rPr>
        <w:t>贮藏</w:t>
      </w:r>
      <w:bookmarkEnd w:id="45"/>
    </w:p>
    <w:p>
      <w:pPr>
        <w:pStyle w:val="43"/>
        <w:spacing w:before="156" w:after="156"/>
      </w:pPr>
      <w:r>
        <w:rPr>
          <w:rFonts w:hint="eastAsia" w:ascii="宋体" w:hAnsi="Times New Roman" w:eastAsia="宋体" w:cs="Times New Roman"/>
          <w:sz w:val="21"/>
          <w:szCs w:val="22"/>
          <w:lang w:val="en-US" w:eastAsia="zh-CN" w:bidi="ar-SA"/>
        </w:rPr>
        <w:t>本品应贮藏在清洁、干燥、阴凉 、通风、无异味、无污染、避光的专用仓库中。贮藏温度 30℃ 以下，湿相对度 70％～75％，商品安全水分9- 13％。地面应整洁、无缝隙、易清洁。必要时安置空调及除湿设备。</w:t>
      </w:r>
    </w:p>
    <w:p>
      <w:pPr>
        <w:pStyle w:val="43"/>
        <w:spacing w:before="156" w:after="156"/>
      </w:pPr>
      <w:r>
        <w:rPr>
          <w:rFonts w:hint="eastAsia" w:ascii="宋体" w:hAnsi="Times New Roman" w:eastAsia="宋体" w:cs="Times New Roman"/>
          <w:sz w:val="21"/>
          <w:szCs w:val="22"/>
          <w:lang w:val="en-US" w:eastAsia="zh-CN" w:bidi="ar-SA"/>
        </w:rPr>
        <w:t>具有防老鼠、虫的措施。</w:t>
      </w:r>
    </w:p>
    <w:p>
      <w:pPr>
        <w:pStyle w:val="43"/>
        <w:spacing w:before="156" w:after="156"/>
        <w:rPr>
          <w:rFonts w:hint="eastAsia" w:ascii="宋体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eastAsia" w:ascii="宋体" w:hAnsi="Times New Roman" w:eastAsia="宋体" w:cs="Times New Roman"/>
          <w:sz w:val="21"/>
          <w:szCs w:val="22"/>
          <w:lang w:val="en-US" w:eastAsia="zh-CN" w:bidi="ar-SA"/>
        </w:rPr>
        <w:t>药材应放在货架上，与墙壁保持足够距离，防止虫蛀、霉变、腐烂等现象发生，并定期检查。</w:t>
      </w:r>
    </w:p>
    <w:p>
      <w:pPr>
        <w:pStyle w:val="21"/>
        <w:rPr>
          <w:rFonts w:hint="eastAsia"/>
        </w:rPr>
      </w:pPr>
    </w:p>
    <w:p>
      <w:pPr>
        <w:pStyle w:val="123"/>
        <w:rPr>
          <w:rFonts w:hint="eastAsia"/>
        </w:rPr>
      </w:pPr>
      <w:r>
        <w:t>_________________________________</w:t>
      </w:r>
    </w:p>
    <w:sectPr>
      <w:pgSz w:w="11906" w:h="16838"/>
      <w:pgMar w:top="567" w:right="1134" w:bottom="1134" w:left="1418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</w:pP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</w:pPr>
    <w:r>
      <w:t>DB34/ TXXXX—XXXX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5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111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49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 w:tentative="0">
      <w:start w:val="1"/>
      <w:numFmt w:val="lowerLetter"/>
      <w:pStyle w:val="115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62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1FC91163"/>
    <w:lvl w:ilvl="0" w:tentative="0">
      <w:start w:val="1"/>
      <w:numFmt w:val="decimal"/>
      <w:pStyle w:val="4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3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2A8F7113"/>
    <w:lvl w:ilvl="0" w:tentative="0">
      <w:start w:val="1"/>
      <w:numFmt w:val="upperLetter"/>
      <w:pStyle w:val="93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94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2C5917C3"/>
    <w:lvl w:ilvl="0" w:tentative="0">
      <w:start w:val="1"/>
      <w:numFmt w:val="none"/>
      <w:pStyle w:val="45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46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57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>
    <w:nsid w:val="3D733618"/>
    <w:multiLevelType w:val="multilevel"/>
    <w:tmpl w:val="3D733618"/>
    <w:lvl w:ilvl="0" w:tentative="0">
      <w:start w:val="1"/>
      <w:numFmt w:val="decimal"/>
      <w:pStyle w:val="22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9">
    <w:nsid w:val="44C50F90"/>
    <w:multiLevelType w:val="multilevel"/>
    <w:tmpl w:val="44C50F90"/>
    <w:lvl w:ilvl="0" w:tentative="0">
      <w:start w:val="1"/>
      <w:numFmt w:val="lowerLetter"/>
      <w:pStyle w:val="56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51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58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0">
    <w:nsid w:val="4B733A5F"/>
    <w:multiLevelType w:val="multilevel"/>
    <w:tmpl w:val="4B733A5F"/>
    <w:lvl w:ilvl="0" w:tentative="0">
      <w:start w:val="1"/>
      <w:numFmt w:val="decimal"/>
      <w:pStyle w:val="59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1">
    <w:nsid w:val="557C2AF5"/>
    <w:multiLevelType w:val="multilevel"/>
    <w:tmpl w:val="557C2AF5"/>
    <w:lvl w:ilvl="0" w:tentative="0">
      <w:start w:val="1"/>
      <w:numFmt w:val="decimal"/>
      <w:pStyle w:val="122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8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46260FA"/>
    <w:multiLevelType w:val="multilevel"/>
    <w:tmpl w:val="646260FA"/>
    <w:lvl w:ilvl="0" w:tentative="0">
      <w:start w:val="1"/>
      <w:numFmt w:val="decimal"/>
      <w:pStyle w:val="120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8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9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9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5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D6C07CD"/>
    <w:multiLevelType w:val="multilevel"/>
    <w:tmpl w:val="6D6C07CD"/>
    <w:lvl w:ilvl="0" w:tentative="0">
      <w:start w:val="1"/>
      <w:numFmt w:val="lowerLetter"/>
      <w:pStyle w:val="100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90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6">
    <w:nsid w:val="6DBF04F4"/>
    <w:multiLevelType w:val="multilevel"/>
    <w:tmpl w:val="6DBF04F4"/>
    <w:lvl w:ilvl="0" w:tentative="0">
      <w:start w:val="1"/>
      <w:numFmt w:val="none"/>
      <w:pStyle w:val="54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4"/>
  </w:num>
  <w:num w:numId="10">
    <w:abstractNumId w:val="14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1" w:cryptProviderType="rsaFull" w:cryptAlgorithmClass="hash" w:cryptAlgorithmType="typeAny" w:cryptAlgorithmSid="4" w:cryptSpinCount="0" w:hash="r+b1BdSqWF3MjNemNwdEfJCTa3U=" w:salt="Kl8F452lRdF+Q1clXp3tpQ==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343BC"/>
    <w:rsid w:val="00000244"/>
    <w:rsid w:val="0000185F"/>
    <w:rsid w:val="0000586F"/>
    <w:rsid w:val="00013D86"/>
    <w:rsid w:val="00013E02"/>
    <w:rsid w:val="0002143C"/>
    <w:rsid w:val="00025A65"/>
    <w:rsid w:val="00026C31"/>
    <w:rsid w:val="00027280"/>
    <w:rsid w:val="000320A7"/>
    <w:rsid w:val="00035925"/>
    <w:rsid w:val="00067CDF"/>
    <w:rsid w:val="00074FBE"/>
    <w:rsid w:val="00083A09"/>
    <w:rsid w:val="0009005E"/>
    <w:rsid w:val="00092857"/>
    <w:rsid w:val="000A20A9"/>
    <w:rsid w:val="000A48B1"/>
    <w:rsid w:val="000B3143"/>
    <w:rsid w:val="000C6B05"/>
    <w:rsid w:val="000C6DD6"/>
    <w:rsid w:val="000C73D4"/>
    <w:rsid w:val="000D3D4C"/>
    <w:rsid w:val="000D4F51"/>
    <w:rsid w:val="000D718B"/>
    <w:rsid w:val="000E0C46"/>
    <w:rsid w:val="000F030C"/>
    <w:rsid w:val="000F129C"/>
    <w:rsid w:val="001056DE"/>
    <w:rsid w:val="001124C0"/>
    <w:rsid w:val="0013175F"/>
    <w:rsid w:val="001512B4"/>
    <w:rsid w:val="001620A5"/>
    <w:rsid w:val="00164E53"/>
    <w:rsid w:val="0016699D"/>
    <w:rsid w:val="00175159"/>
    <w:rsid w:val="00176208"/>
    <w:rsid w:val="0018211B"/>
    <w:rsid w:val="001840D3"/>
    <w:rsid w:val="001900F8"/>
    <w:rsid w:val="00191258"/>
    <w:rsid w:val="00192680"/>
    <w:rsid w:val="00193037"/>
    <w:rsid w:val="00193A2C"/>
    <w:rsid w:val="001A288E"/>
    <w:rsid w:val="001B6DC2"/>
    <w:rsid w:val="001C149C"/>
    <w:rsid w:val="001C21AC"/>
    <w:rsid w:val="001C47BA"/>
    <w:rsid w:val="001C59EA"/>
    <w:rsid w:val="001D406C"/>
    <w:rsid w:val="001D41EE"/>
    <w:rsid w:val="001E0380"/>
    <w:rsid w:val="001E13B1"/>
    <w:rsid w:val="001F3A19"/>
    <w:rsid w:val="00234467"/>
    <w:rsid w:val="00237D8D"/>
    <w:rsid w:val="00241DA2"/>
    <w:rsid w:val="00247FEE"/>
    <w:rsid w:val="00250E7D"/>
    <w:rsid w:val="00254641"/>
    <w:rsid w:val="002565D5"/>
    <w:rsid w:val="002622C0"/>
    <w:rsid w:val="002778AE"/>
    <w:rsid w:val="0028269A"/>
    <w:rsid w:val="00283590"/>
    <w:rsid w:val="00286973"/>
    <w:rsid w:val="00294E70"/>
    <w:rsid w:val="002A1924"/>
    <w:rsid w:val="002A7420"/>
    <w:rsid w:val="002B0F12"/>
    <w:rsid w:val="002B1308"/>
    <w:rsid w:val="002B4554"/>
    <w:rsid w:val="002C72D8"/>
    <w:rsid w:val="002D11FA"/>
    <w:rsid w:val="002E0DDF"/>
    <w:rsid w:val="002E14C9"/>
    <w:rsid w:val="002E2906"/>
    <w:rsid w:val="002E5635"/>
    <w:rsid w:val="002E64C3"/>
    <w:rsid w:val="002E6A2C"/>
    <w:rsid w:val="002F1D8C"/>
    <w:rsid w:val="002F21DA"/>
    <w:rsid w:val="00301F39"/>
    <w:rsid w:val="00325926"/>
    <w:rsid w:val="00327A8A"/>
    <w:rsid w:val="00336610"/>
    <w:rsid w:val="00343F73"/>
    <w:rsid w:val="00345060"/>
    <w:rsid w:val="0035323B"/>
    <w:rsid w:val="003609D2"/>
    <w:rsid w:val="00363F22"/>
    <w:rsid w:val="00375564"/>
    <w:rsid w:val="00383191"/>
    <w:rsid w:val="00383F88"/>
    <w:rsid w:val="00386DED"/>
    <w:rsid w:val="003912E7"/>
    <w:rsid w:val="00393947"/>
    <w:rsid w:val="003A2275"/>
    <w:rsid w:val="003A44AF"/>
    <w:rsid w:val="003A6A4F"/>
    <w:rsid w:val="003A7088"/>
    <w:rsid w:val="003B00DF"/>
    <w:rsid w:val="003B1275"/>
    <w:rsid w:val="003B1778"/>
    <w:rsid w:val="003C11CB"/>
    <w:rsid w:val="003C75F3"/>
    <w:rsid w:val="003C78A3"/>
    <w:rsid w:val="003E1867"/>
    <w:rsid w:val="003E5729"/>
    <w:rsid w:val="003F2758"/>
    <w:rsid w:val="003F4EE0"/>
    <w:rsid w:val="00402153"/>
    <w:rsid w:val="00402FC1"/>
    <w:rsid w:val="00425082"/>
    <w:rsid w:val="00431DEB"/>
    <w:rsid w:val="00446B29"/>
    <w:rsid w:val="00453F9A"/>
    <w:rsid w:val="00471E91"/>
    <w:rsid w:val="00474675"/>
    <w:rsid w:val="0047470C"/>
    <w:rsid w:val="004A35F9"/>
    <w:rsid w:val="004B24C1"/>
    <w:rsid w:val="004C292F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3786"/>
    <w:rsid w:val="005533D7"/>
    <w:rsid w:val="005703DE"/>
    <w:rsid w:val="0058464E"/>
    <w:rsid w:val="005A01CB"/>
    <w:rsid w:val="005A58FF"/>
    <w:rsid w:val="005A5EAF"/>
    <w:rsid w:val="005A64C0"/>
    <w:rsid w:val="005B2209"/>
    <w:rsid w:val="005B3C11"/>
    <w:rsid w:val="005C1C28"/>
    <w:rsid w:val="005C6DB5"/>
    <w:rsid w:val="005E19E7"/>
    <w:rsid w:val="005F3C6C"/>
    <w:rsid w:val="0061716C"/>
    <w:rsid w:val="006243A1"/>
    <w:rsid w:val="00632E56"/>
    <w:rsid w:val="00635CBA"/>
    <w:rsid w:val="0064338B"/>
    <w:rsid w:val="00646542"/>
    <w:rsid w:val="006504F4"/>
    <w:rsid w:val="00654BC9"/>
    <w:rsid w:val="006552FD"/>
    <w:rsid w:val="00663AF3"/>
    <w:rsid w:val="00666B6C"/>
    <w:rsid w:val="00671080"/>
    <w:rsid w:val="00682682"/>
    <w:rsid w:val="00682702"/>
    <w:rsid w:val="00692368"/>
    <w:rsid w:val="006A2EBC"/>
    <w:rsid w:val="006A5EA0"/>
    <w:rsid w:val="006A783B"/>
    <w:rsid w:val="006A7B33"/>
    <w:rsid w:val="006B4E13"/>
    <w:rsid w:val="006B75DD"/>
    <w:rsid w:val="006C67E0"/>
    <w:rsid w:val="006C7ABA"/>
    <w:rsid w:val="006D0D60"/>
    <w:rsid w:val="006D1122"/>
    <w:rsid w:val="006D3C00"/>
    <w:rsid w:val="006E3675"/>
    <w:rsid w:val="006E4A7F"/>
    <w:rsid w:val="006F4C69"/>
    <w:rsid w:val="00704DF6"/>
    <w:rsid w:val="0070651C"/>
    <w:rsid w:val="007132A3"/>
    <w:rsid w:val="00716421"/>
    <w:rsid w:val="00724B9D"/>
    <w:rsid w:val="00724EFB"/>
    <w:rsid w:val="007419C3"/>
    <w:rsid w:val="007467A7"/>
    <w:rsid w:val="007469DD"/>
    <w:rsid w:val="0074741B"/>
    <w:rsid w:val="0074759E"/>
    <w:rsid w:val="007478EA"/>
    <w:rsid w:val="0075415C"/>
    <w:rsid w:val="00763502"/>
    <w:rsid w:val="007913AB"/>
    <w:rsid w:val="007914F7"/>
    <w:rsid w:val="007B1625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58D"/>
    <w:rsid w:val="007F7D52"/>
    <w:rsid w:val="0080654C"/>
    <w:rsid w:val="008071C6"/>
    <w:rsid w:val="00817A00"/>
    <w:rsid w:val="00835DB3"/>
    <w:rsid w:val="0083617B"/>
    <w:rsid w:val="008371BD"/>
    <w:rsid w:val="008504A8"/>
    <w:rsid w:val="0085282E"/>
    <w:rsid w:val="0087198C"/>
    <w:rsid w:val="00872C1F"/>
    <w:rsid w:val="00873B42"/>
    <w:rsid w:val="008856D8"/>
    <w:rsid w:val="00892E82"/>
    <w:rsid w:val="008C1B58"/>
    <w:rsid w:val="008C39AE"/>
    <w:rsid w:val="008C590D"/>
    <w:rsid w:val="008E031B"/>
    <w:rsid w:val="008E7029"/>
    <w:rsid w:val="008E7EF6"/>
    <w:rsid w:val="008F1F98"/>
    <w:rsid w:val="008F6758"/>
    <w:rsid w:val="009040DD"/>
    <w:rsid w:val="00905B47"/>
    <w:rsid w:val="0091331C"/>
    <w:rsid w:val="009279DE"/>
    <w:rsid w:val="00930116"/>
    <w:rsid w:val="0094212C"/>
    <w:rsid w:val="00954689"/>
    <w:rsid w:val="009617C9"/>
    <w:rsid w:val="00961C93"/>
    <w:rsid w:val="00965324"/>
    <w:rsid w:val="0097091E"/>
    <w:rsid w:val="009760D3"/>
    <w:rsid w:val="00977132"/>
    <w:rsid w:val="00981A4B"/>
    <w:rsid w:val="00982501"/>
    <w:rsid w:val="009877D3"/>
    <w:rsid w:val="00994E8F"/>
    <w:rsid w:val="009951DC"/>
    <w:rsid w:val="009959BB"/>
    <w:rsid w:val="00997158"/>
    <w:rsid w:val="009A3A7C"/>
    <w:rsid w:val="009B2ADB"/>
    <w:rsid w:val="009B603A"/>
    <w:rsid w:val="009C2D0E"/>
    <w:rsid w:val="009C3DAC"/>
    <w:rsid w:val="009C42E0"/>
    <w:rsid w:val="009D5362"/>
    <w:rsid w:val="009E1415"/>
    <w:rsid w:val="009E6116"/>
    <w:rsid w:val="009F5D62"/>
    <w:rsid w:val="00A02E43"/>
    <w:rsid w:val="00A065F9"/>
    <w:rsid w:val="00A07F34"/>
    <w:rsid w:val="00A22154"/>
    <w:rsid w:val="00A25C38"/>
    <w:rsid w:val="00A36BBE"/>
    <w:rsid w:val="00A4307A"/>
    <w:rsid w:val="00A47EBB"/>
    <w:rsid w:val="00A51CDD"/>
    <w:rsid w:val="00A6730D"/>
    <w:rsid w:val="00A71625"/>
    <w:rsid w:val="00A71B9B"/>
    <w:rsid w:val="00A751C7"/>
    <w:rsid w:val="00A87844"/>
    <w:rsid w:val="00AA038C"/>
    <w:rsid w:val="00AA7A09"/>
    <w:rsid w:val="00AB3B50"/>
    <w:rsid w:val="00AC05B1"/>
    <w:rsid w:val="00AD356C"/>
    <w:rsid w:val="00AE2914"/>
    <w:rsid w:val="00AE6D15"/>
    <w:rsid w:val="00B04182"/>
    <w:rsid w:val="00B07AE3"/>
    <w:rsid w:val="00B11430"/>
    <w:rsid w:val="00B353EB"/>
    <w:rsid w:val="00B439C4"/>
    <w:rsid w:val="00B4535E"/>
    <w:rsid w:val="00B52A8C"/>
    <w:rsid w:val="00B636A8"/>
    <w:rsid w:val="00B665C6"/>
    <w:rsid w:val="00B805AF"/>
    <w:rsid w:val="00B869EC"/>
    <w:rsid w:val="00B9397A"/>
    <w:rsid w:val="00B9633D"/>
    <w:rsid w:val="00BA2EBE"/>
    <w:rsid w:val="00BB0F28"/>
    <w:rsid w:val="00BB458A"/>
    <w:rsid w:val="00BD00D3"/>
    <w:rsid w:val="00BD1659"/>
    <w:rsid w:val="00BD3AA9"/>
    <w:rsid w:val="00BD4A18"/>
    <w:rsid w:val="00BD6DB2"/>
    <w:rsid w:val="00BE11CF"/>
    <w:rsid w:val="00BE21AB"/>
    <w:rsid w:val="00BE55CB"/>
    <w:rsid w:val="00BF617A"/>
    <w:rsid w:val="00C0379D"/>
    <w:rsid w:val="00C03931"/>
    <w:rsid w:val="00C05FE3"/>
    <w:rsid w:val="00C2136D"/>
    <w:rsid w:val="00C214EE"/>
    <w:rsid w:val="00C2314B"/>
    <w:rsid w:val="00C24971"/>
    <w:rsid w:val="00C26BE5"/>
    <w:rsid w:val="00C26E4D"/>
    <w:rsid w:val="00C27909"/>
    <w:rsid w:val="00C27B03"/>
    <w:rsid w:val="00C314E1"/>
    <w:rsid w:val="00C34397"/>
    <w:rsid w:val="00C4095D"/>
    <w:rsid w:val="00C601D2"/>
    <w:rsid w:val="00C65BCC"/>
    <w:rsid w:val="00C66970"/>
    <w:rsid w:val="00C8691C"/>
    <w:rsid w:val="00CA168A"/>
    <w:rsid w:val="00CA357E"/>
    <w:rsid w:val="00CA44F9"/>
    <w:rsid w:val="00CA4A69"/>
    <w:rsid w:val="00CC3E0C"/>
    <w:rsid w:val="00CC58D3"/>
    <w:rsid w:val="00CC784D"/>
    <w:rsid w:val="00D0337B"/>
    <w:rsid w:val="00D079B2"/>
    <w:rsid w:val="00D114E9"/>
    <w:rsid w:val="00D429C6"/>
    <w:rsid w:val="00D47748"/>
    <w:rsid w:val="00D54CC3"/>
    <w:rsid w:val="00D6041A"/>
    <w:rsid w:val="00D633EB"/>
    <w:rsid w:val="00D640E7"/>
    <w:rsid w:val="00D82FF7"/>
    <w:rsid w:val="00D847FE"/>
    <w:rsid w:val="00D964EA"/>
    <w:rsid w:val="00D966D0"/>
    <w:rsid w:val="00DA0C59"/>
    <w:rsid w:val="00DA3991"/>
    <w:rsid w:val="00DB7E6C"/>
    <w:rsid w:val="00DD5A29"/>
    <w:rsid w:val="00DD5D9D"/>
    <w:rsid w:val="00DE35CB"/>
    <w:rsid w:val="00DF21E9"/>
    <w:rsid w:val="00E00F14"/>
    <w:rsid w:val="00E06386"/>
    <w:rsid w:val="00E24EB4"/>
    <w:rsid w:val="00E320ED"/>
    <w:rsid w:val="00E33AFB"/>
    <w:rsid w:val="00E34218"/>
    <w:rsid w:val="00E46282"/>
    <w:rsid w:val="00E5216E"/>
    <w:rsid w:val="00E82344"/>
    <w:rsid w:val="00E82AF5"/>
    <w:rsid w:val="00E84C82"/>
    <w:rsid w:val="00E84D64"/>
    <w:rsid w:val="00E87408"/>
    <w:rsid w:val="00E914C4"/>
    <w:rsid w:val="00E934F5"/>
    <w:rsid w:val="00E96961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F11BB5"/>
    <w:rsid w:val="00F1417B"/>
    <w:rsid w:val="00F34B99"/>
    <w:rsid w:val="00F52DAB"/>
    <w:rsid w:val="00F543F0"/>
    <w:rsid w:val="00F81D29"/>
    <w:rsid w:val="00F91C4D"/>
    <w:rsid w:val="00F92FD9"/>
    <w:rsid w:val="00FA6684"/>
    <w:rsid w:val="00FA731E"/>
    <w:rsid w:val="00FB2B38"/>
    <w:rsid w:val="00FB2D8B"/>
    <w:rsid w:val="00FC6358"/>
    <w:rsid w:val="00FD320D"/>
    <w:rsid w:val="00FE23DE"/>
    <w:rsid w:val="04B246ED"/>
    <w:rsid w:val="144A703F"/>
    <w:rsid w:val="1C4B131C"/>
    <w:rsid w:val="1D735A3A"/>
    <w:rsid w:val="34FD5C56"/>
    <w:rsid w:val="37A825F8"/>
    <w:rsid w:val="538E33FA"/>
    <w:rsid w:val="57E61B7A"/>
    <w:rsid w:val="67D34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2">
    <w:name w:val="Default Paragraph Font"/>
    <w:semiHidden/>
    <w:uiPriority w:val="0"/>
  </w:style>
  <w:style w:type="table" w:default="1" w:styleId="3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8">
    <w:name w:val="Body Text"/>
    <w:basedOn w:val="1"/>
    <w:link w:val="137"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Cs w:val="21"/>
    </w:rPr>
  </w:style>
  <w:style w:type="paragraph" w:styleId="9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0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1">
    <w:name w:val="toc 3"/>
    <w:basedOn w:val="1"/>
    <w:next w:val="1"/>
    <w:qFormat/>
    <w:uiPriority w:val="39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2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3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4">
    <w:name w:val="endnote text"/>
    <w:basedOn w:val="1"/>
    <w:semiHidden/>
    <w:qFormat/>
    <w:uiPriority w:val="0"/>
    <w:pPr>
      <w:snapToGrid w:val="0"/>
      <w:jc w:val="left"/>
    </w:pPr>
  </w:style>
  <w:style w:type="paragraph" w:styleId="15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tabs>
        <w:tab w:val="right" w:leader="dot" w:pos="9241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18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19">
    <w:name w:val="index heading"/>
    <w:basedOn w:val="1"/>
    <w:next w:val="20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0">
    <w:name w:val="index 1"/>
    <w:basedOn w:val="1"/>
    <w:next w:val="21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1">
    <w:name w:val="段"/>
    <w:link w:val="13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2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3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4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5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6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/>
      <w:szCs w:val="21"/>
    </w:rPr>
  </w:style>
  <w:style w:type="paragraph" w:styleId="27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2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9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1">
    <w:name w:val="Table Grid"/>
    <w:basedOn w:val="30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ndnote reference"/>
    <w:basedOn w:val="32"/>
    <w:semiHidden/>
    <w:qFormat/>
    <w:uiPriority w:val="0"/>
    <w:rPr>
      <w:vertAlign w:val="superscript"/>
    </w:rPr>
  </w:style>
  <w:style w:type="character" w:styleId="35">
    <w:name w:val="page number"/>
    <w:basedOn w:val="32"/>
    <w:qFormat/>
    <w:uiPriority w:val="0"/>
    <w:rPr>
      <w:rFonts w:ascii="Times New Roman" w:hAnsi="Times New Roman" w:eastAsia="宋体"/>
      <w:sz w:val="18"/>
    </w:rPr>
  </w:style>
  <w:style w:type="character" w:styleId="36">
    <w:name w:val="FollowedHyperlink"/>
    <w:basedOn w:val="32"/>
    <w:qFormat/>
    <w:uiPriority w:val="0"/>
    <w:rPr>
      <w:color w:val="800080"/>
      <w:u w:val="single"/>
    </w:rPr>
  </w:style>
  <w:style w:type="character" w:styleId="37">
    <w:name w:val="Hyperlink"/>
    <w:basedOn w:val="32"/>
    <w:qFormat/>
    <w:uiPriority w:val="99"/>
    <w:rPr>
      <w:color w:val="0000FF"/>
      <w:spacing w:val="0"/>
      <w:w w:val="100"/>
      <w:szCs w:val="21"/>
      <w:u w:val="single"/>
    </w:rPr>
  </w:style>
  <w:style w:type="character" w:styleId="38">
    <w:name w:val="footnote reference"/>
    <w:basedOn w:val="32"/>
    <w:semiHidden/>
    <w:qFormat/>
    <w:uiPriority w:val="0"/>
    <w:rPr>
      <w:vertAlign w:val="superscript"/>
    </w:rPr>
  </w:style>
  <w:style w:type="paragraph" w:customStyle="1" w:styleId="39">
    <w:name w:val="一级条标题"/>
    <w:next w:val="21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2">
    <w:name w:val="章标题"/>
    <w:next w:val="21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3">
    <w:name w:val="二级条标题"/>
    <w:basedOn w:val="39"/>
    <w:next w:val="21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44">
    <w:name w:val="封面标准号2"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45">
    <w:name w:val="列项——（一级）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6">
    <w:name w:val="列项●（二级）"/>
    <w:qFormat/>
    <w:uiPriority w:val="0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7">
    <w:name w:val="目次、标准名称标题"/>
    <w:basedOn w:val="1"/>
    <w:next w:val="2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48">
    <w:name w:val="三级条标题"/>
    <w:basedOn w:val="43"/>
    <w:next w:val="21"/>
    <w:qFormat/>
    <w:uiPriority w:val="0"/>
    <w:pPr>
      <w:numPr>
        <w:ilvl w:val="3"/>
        <w:numId w:val="2"/>
      </w:numPr>
      <w:outlineLvl w:val="4"/>
    </w:pPr>
  </w:style>
  <w:style w:type="paragraph" w:customStyle="1" w:styleId="49">
    <w:name w:val="示例"/>
    <w:next w:val="50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0">
    <w:name w:val="示例内容"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1">
    <w:name w:val="数字编号列项（二级）"/>
    <w:qFormat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2">
    <w:name w:val="四级条标题"/>
    <w:basedOn w:val="48"/>
    <w:next w:val="21"/>
    <w:qFormat/>
    <w:uiPriority w:val="0"/>
    <w:pPr>
      <w:numPr>
        <w:ilvl w:val="4"/>
        <w:numId w:val="2"/>
      </w:numPr>
      <w:outlineLvl w:val="5"/>
    </w:pPr>
  </w:style>
  <w:style w:type="paragraph" w:customStyle="1" w:styleId="53">
    <w:name w:val="五级条标题"/>
    <w:basedOn w:val="52"/>
    <w:next w:val="21"/>
    <w:qFormat/>
    <w:uiPriority w:val="0"/>
    <w:pPr>
      <w:numPr>
        <w:ilvl w:val="5"/>
        <w:numId w:val="2"/>
      </w:numPr>
      <w:outlineLvl w:val="6"/>
    </w:pPr>
  </w:style>
  <w:style w:type="paragraph" w:customStyle="1" w:styleId="54">
    <w:name w:val="注："/>
    <w:next w:val="21"/>
    <w:qFormat/>
    <w:uiPriority w:val="0"/>
    <w:pPr>
      <w:widowControl w:val="0"/>
      <w:numPr>
        <w:ilvl w:val="0"/>
        <w:numId w:val="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5">
    <w:name w:val="注×："/>
    <w:qFormat/>
    <w:uiPriority w:val="0"/>
    <w:pPr>
      <w:widowControl w:val="0"/>
      <w:numPr>
        <w:ilvl w:val="0"/>
        <w:numId w:val="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6">
    <w:name w:val="字母编号列项（一级）"/>
    <w:qFormat/>
    <w:uiPriority w:val="0"/>
    <w:pPr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列项◆（三级）"/>
    <w:basedOn w:val="1"/>
    <w:qFormat/>
    <w:uiPriority w:val="0"/>
    <w:pPr>
      <w:numPr>
        <w:ilvl w:val="2"/>
        <w:numId w:val="3"/>
      </w:numPr>
    </w:pPr>
    <w:rPr>
      <w:rFonts w:ascii="宋体"/>
      <w:szCs w:val="21"/>
    </w:rPr>
  </w:style>
  <w:style w:type="paragraph" w:customStyle="1" w:styleId="58">
    <w:name w:val="编号列项（三级）"/>
    <w:uiPriority w:val="0"/>
    <w:pPr>
      <w:numPr>
        <w:ilvl w:val="2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9">
    <w:name w:val="示例×："/>
    <w:basedOn w:val="42"/>
    <w:qFormat/>
    <w:uiPriority w:val="0"/>
    <w:pPr>
      <w:numPr>
        <w:ilvl w:val="0"/>
        <w:numId w:val="8"/>
      </w:numPr>
      <w:spacing w:before="0" w:beforeLines="0" w:after="0" w:afterLines="0"/>
      <w:outlineLvl w:val="9"/>
    </w:pPr>
    <w:rPr>
      <w:rFonts w:ascii="宋体" w:eastAsia="宋体"/>
      <w:sz w:val="18"/>
      <w:szCs w:val="18"/>
    </w:rPr>
  </w:style>
  <w:style w:type="paragraph" w:customStyle="1" w:styleId="60">
    <w:name w:val="二级无"/>
    <w:basedOn w:val="43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61">
    <w:name w:val="注：（正文）"/>
    <w:basedOn w:val="54"/>
    <w:next w:val="21"/>
    <w:qFormat/>
    <w:uiPriority w:val="0"/>
  </w:style>
  <w:style w:type="paragraph" w:customStyle="1" w:styleId="62">
    <w:name w:val="注×：（正文）"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3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4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5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6">
    <w:name w:val="标准书眉_偶数页"/>
    <w:basedOn w:val="41"/>
    <w:next w:val="1"/>
    <w:qFormat/>
    <w:uiPriority w:val="0"/>
    <w:pPr>
      <w:jc w:val="left"/>
    </w:pPr>
    <w:rPr>
      <w:rFonts w:ascii="黑体" w:eastAsia="黑体"/>
    </w:rPr>
  </w:style>
  <w:style w:type="paragraph" w:customStyle="1" w:styleId="67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参考文献"/>
    <w:basedOn w:val="1"/>
    <w:next w:val="21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69">
    <w:name w:val="参考文献、索引标题"/>
    <w:basedOn w:val="1"/>
    <w:next w:val="21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0">
    <w:name w:val="发布部门"/>
    <w:next w:val="21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1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2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73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5">
    <w:name w:val="封面标准英文名称"/>
    <w:basedOn w:val="74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76">
    <w:name w:val="封面一致性程度标识"/>
    <w:basedOn w:val="75"/>
    <w:qFormat/>
    <w:uiPriority w:val="0"/>
    <w:pPr>
      <w:spacing w:before="440"/>
    </w:pPr>
    <w:rPr>
      <w:rFonts w:ascii="宋体" w:eastAsia="宋体"/>
    </w:rPr>
  </w:style>
  <w:style w:type="paragraph" w:customStyle="1" w:styleId="77">
    <w:name w:val="封面标准文稿类别"/>
    <w:basedOn w:val="76"/>
    <w:qFormat/>
    <w:uiPriority w:val="0"/>
    <w:pPr>
      <w:spacing w:after="160" w:line="240" w:lineRule="auto"/>
    </w:pPr>
    <w:rPr>
      <w:sz w:val="24"/>
    </w:rPr>
  </w:style>
  <w:style w:type="paragraph" w:customStyle="1" w:styleId="78">
    <w:name w:val="封面标准文稿编辑信息"/>
    <w:basedOn w:val="77"/>
    <w:qFormat/>
    <w:uiPriority w:val="0"/>
    <w:pPr>
      <w:spacing w:before="180" w:line="180" w:lineRule="exact"/>
    </w:pPr>
    <w:rPr>
      <w:sz w:val="21"/>
    </w:rPr>
  </w:style>
  <w:style w:type="paragraph" w:customStyle="1" w:styleId="79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0">
    <w:name w:val="附录标识"/>
    <w:basedOn w:val="1"/>
    <w:next w:val="21"/>
    <w:qFormat/>
    <w:uiPriority w:val="0"/>
    <w:pPr>
      <w:keepNext/>
      <w:widowControl/>
      <w:numPr>
        <w:ilvl w:val="0"/>
        <w:numId w:val="10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1">
    <w:name w:val="附录标题"/>
    <w:basedOn w:val="21"/>
    <w:next w:val="21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2">
    <w:name w:val="附录表标号"/>
    <w:basedOn w:val="1"/>
    <w:next w:val="21"/>
    <w:qFormat/>
    <w:uiPriority w:val="0"/>
    <w:pPr>
      <w:numPr>
        <w:ilvl w:val="0"/>
        <w:numId w:val="1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3">
    <w:name w:val="附录表标题"/>
    <w:basedOn w:val="1"/>
    <w:next w:val="21"/>
    <w:qFormat/>
    <w:uiPriority w:val="0"/>
    <w:pPr>
      <w:numPr>
        <w:ilvl w:val="1"/>
        <w:numId w:val="1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4">
    <w:name w:val="附录二级条标题"/>
    <w:basedOn w:val="1"/>
    <w:next w:val="21"/>
    <w:qFormat/>
    <w:uiPriority w:val="0"/>
    <w:pPr>
      <w:widowControl/>
      <w:numPr>
        <w:ilvl w:val="3"/>
        <w:numId w:val="10"/>
      </w:numPr>
      <w:tabs>
        <w:tab w:val="left" w:pos="360"/>
      </w:tabs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5">
    <w:name w:val="附录二级无"/>
    <w:basedOn w:val="84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86">
    <w:name w:val="附录公式"/>
    <w:basedOn w:val="21"/>
    <w:next w:val="21"/>
    <w:link w:val="135"/>
    <w:qFormat/>
    <w:uiPriority w:val="0"/>
  </w:style>
  <w:style w:type="paragraph" w:customStyle="1" w:styleId="87">
    <w:name w:val="附录公式编号制表符"/>
    <w:basedOn w:val="1"/>
    <w:next w:val="2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88">
    <w:name w:val="附录三级条标题"/>
    <w:basedOn w:val="84"/>
    <w:next w:val="21"/>
    <w:qFormat/>
    <w:uiPriority w:val="0"/>
    <w:pPr>
      <w:numPr>
        <w:ilvl w:val="4"/>
        <w:numId w:val="10"/>
      </w:numPr>
      <w:outlineLvl w:val="4"/>
    </w:pPr>
  </w:style>
  <w:style w:type="paragraph" w:customStyle="1" w:styleId="89">
    <w:name w:val="附录三级无"/>
    <w:basedOn w:val="88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90">
    <w:name w:val="附录数字编号列项（二级）"/>
    <w:qFormat/>
    <w:uiPriority w:val="0"/>
    <w:pPr>
      <w:numPr>
        <w:ilvl w:val="1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1">
    <w:name w:val="附录四级条标题"/>
    <w:basedOn w:val="88"/>
    <w:next w:val="21"/>
    <w:qFormat/>
    <w:uiPriority w:val="0"/>
    <w:pPr>
      <w:numPr>
        <w:ilvl w:val="5"/>
        <w:numId w:val="10"/>
      </w:numPr>
      <w:outlineLvl w:val="5"/>
    </w:pPr>
  </w:style>
  <w:style w:type="paragraph" w:customStyle="1" w:styleId="92">
    <w:name w:val="附录四级无"/>
    <w:basedOn w:val="91"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93">
    <w:name w:val="附录图标号"/>
    <w:basedOn w:val="1"/>
    <w:qFormat/>
    <w:uiPriority w:val="0"/>
    <w:pPr>
      <w:keepNext/>
      <w:pageBreakBefore/>
      <w:widowControl/>
      <w:numPr>
        <w:ilvl w:val="0"/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94">
    <w:name w:val="附录图标题"/>
    <w:basedOn w:val="1"/>
    <w:next w:val="21"/>
    <w:qFormat/>
    <w:uiPriority w:val="0"/>
    <w:pPr>
      <w:numPr>
        <w:ilvl w:val="1"/>
        <w:numId w:val="13"/>
      </w:numPr>
      <w:tabs>
        <w:tab w:val="left" w:pos="363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5">
    <w:name w:val="附录五级条标题"/>
    <w:basedOn w:val="91"/>
    <w:next w:val="21"/>
    <w:uiPriority w:val="0"/>
    <w:pPr>
      <w:numPr>
        <w:ilvl w:val="6"/>
        <w:numId w:val="10"/>
      </w:numPr>
      <w:outlineLvl w:val="6"/>
    </w:pPr>
  </w:style>
  <w:style w:type="paragraph" w:customStyle="1" w:styleId="96">
    <w:name w:val="附录五级无"/>
    <w:basedOn w:val="95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97">
    <w:name w:val="附录章标题"/>
    <w:next w:val="21"/>
    <w:qFormat/>
    <w:uiPriority w:val="0"/>
    <w:pPr>
      <w:numPr>
        <w:ilvl w:val="1"/>
        <w:numId w:val="10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8">
    <w:name w:val="附录一级条标题"/>
    <w:basedOn w:val="97"/>
    <w:next w:val="21"/>
    <w:qFormat/>
    <w:uiPriority w:val="0"/>
    <w:pPr>
      <w:numPr>
        <w:ilvl w:val="2"/>
        <w:numId w:val="10"/>
      </w:numPr>
      <w:autoSpaceDN w:val="0"/>
      <w:spacing w:before="50" w:beforeLines="50" w:after="50" w:afterLines="50"/>
      <w:outlineLvl w:val="2"/>
    </w:pPr>
  </w:style>
  <w:style w:type="paragraph" w:customStyle="1" w:styleId="99">
    <w:name w:val="附录一级无"/>
    <w:basedOn w:val="98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00">
    <w:name w:val="附录字母编号列项（一级）"/>
    <w:qFormat/>
    <w:uiPriority w:val="0"/>
    <w:pPr>
      <w:numPr>
        <w:ilvl w:val="0"/>
        <w:numId w:val="12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1">
    <w:name w:val="列项说明"/>
    <w:basedOn w:val="1"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02">
    <w:name w:val="列项说明数字编号"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3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其他标准标志"/>
    <w:basedOn w:val="63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05">
    <w:name w:val="其他标准称谓"/>
    <w:next w:val="1"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6">
    <w:name w:val="其他发布部门"/>
    <w:basedOn w:val="70"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07">
    <w:name w:val="前言、引言标题"/>
    <w:next w:val="21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8">
    <w:name w:val="三级无"/>
    <w:basedOn w:val="4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09">
    <w:name w:val="实施日期"/>
    <w:basedOn w:val="71"/>
    <w:qFormat/>
    <w:uiPriority w:val="0"/>
    <w:pPr>
      <w:framePr w:vAnchor="page" w:hAnchor="page"/>
      <w:jc w:val="right"/>
    </w:pPr>
  </w:style>
  <w:style w:type="paragraph" w:customStyle="1" w:styleId="110">
    <w:name w:val="示例后文字"/>
    <w:basedOn w:val="21"/>
    <w:next w:val="21"/>
    <w:qFormat/>
    <w:uiPriority w:val="0"/>
    <w:pPr>
      <w:ind w:firstLine="360"/>
    </w:pPr>
    <w:rPr>
      <w:sz w:val="18"/>
    </w:rPr>
  </w:style>
  <w:style w:type="paragraph" w:customStyle="1" w:styleId="111">
    <w:name w:val="首示例"/>
    <w:next w:val="21"/>
    <w:link w:val="136"/>
    <w:qFormat/>
    <w:uiPriority w:val="0"/>
    <w:pPr>
      <w:numPr>
        <w:ilvl w:val="0"/>
        <w:numId w:val="14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112">
    <w:name w:val="四级无"/>
    <w:basedOn w:val="52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13">
    <w:name w:val="条文脚注"/>
    <w:basedOn w:val="22"/>
    <w:qFormat/>
    <w:uiPriority w:val="0"/>
    <w:pPr>
      <w:numPr>
        <w:ilvl w:val="0"/>
        <w:numId w:val="0"/>
      </w:numPr>
      <w:jc w:val="both"/>
    </w:pPr>
    <w:rPr>
      <w:rFonts w:ascii="宋体"/>
    </w:rPr>
  </w:style>
  <w:style w:type="paragraph" w:customStyle="1" w:styleId="114">
    <w:name w:val="图标脚注说明"/>
    <w:basedOn w:val="21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15">
    <w:name w:val="图表脚注说明"/>
    <w:basedOn w:val="1"/>
    <w:qFormat/>
    <w:uiPriority w:val="0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116">
    <w:name w:val="图的脚注"/>
    <w:next w:val="21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8">
    <w:name w:val="五级无"/>
    <w:basedOn w:val="53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19">
    <w:name w:val="一级无"/>
    <w:basedOn w:val="3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20">
    <w:name w:val="正文表标题"/>
    <w:next w:val="21"/>
    <w:qFormat/>
    <w:uiPriority w:val="0"/>
    <w:pPr>
      <w:numPr>
        <w:ilvl w:val="0"/>
        <w:numId w:val="16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1">
    <w:name w:val="正文公式编号制表符"/>
    <w:basedOn w:val="21"/>
    <w:next w:val="21"/>
    <w:qFormat/>
    <w:uiPriority w:val="0"/>
    <w:pPr>
      <w:ind w:firstLine="0" w:firstLineChars="0"/>
    </w:pPr>
  </w:style>
  <w:style w:type="paragraph" w:customStyle="1" w:styleId="122">
    <w:name w:val="正文图标题"/>
    <w:next w:val="21"/>
    <w:qFormat/>
    <w:uiPriority w:val="0"/>
    <w:pPr>
      <w:numPr>
        <w:ilvl w:val="0"/>
        <w:numId w:val="17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3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24">
    <w:name w:val="其他发布日期"/>
    <w:basedOn w:val="71"/>
    <w:qFormat/>
    <w:uiPriority w:val="0"/>
    <w:pPr>
      <w:framePr w:vAnchor="page" w:hAnchor="page" w:x="1419"/>
    </w:pPr>
  </w:style>
  <w:style w:type="paragraph" w:customStyle="1" w:styleId="125">
    <w:name w:val="其他实施日期"/>
    <w:basedOn w:val="109"/>
    <w:qFormat/>
    <w:uiPriority w:val="0"/>
  </w:style>
  <w:style w:type="paragraph" w:customStyle="1" w:styleId="126">
    <w:name w:val="封面标准名称2"/>
    <w:basedOn w:val="74"/>
    <w:qFormat/>
    <w:uiPriority w:val="0"/>
    <w:pPr>
      <w:framePr w:y="4469"/>
      <w:spacing w:before="630" w:beforeLines="630"/>
    </w:pPr>
  </w:style>
  <w:style w:type="paragraph" w:customStyle="1" w:styleId="127">
    <w:name w:val="封面标准英文名称2"/>
    <w:basedOn w:val="75"/>
    <w:qFormat/>
    <w:uiPriority w:val="0"/>
    <w:pPr>
      <w:framePr w:y="4469"/>
    </w:pPr>
  </w:style>
  <w:style w:type="paragraph" w:customStyle="1" w:styleId="128">
    <w:name w:val="封面一致性程度标识2"/>
    <w:basedOn w:val="76"/>
    <w:qFormat/>
    <w:uiPriority w:val="0"/>
    <w:pPr>
      <w:framePr w:y="4469"/>
    </w:pPr>
  </w:style>
  <w:style w:type="paragraph" w:customStyle="1" w:styleId="129">
    <w:name w:val="封面标准文稿类别2"/>
    <w:basedOn w:val="77"/>
    <w:uiPriority w:val="0"/>
    <w:pPr>
      <w:framePr w:y="4469"/>
    </w:pPr>
  </w:style>
  <w:style w:type="paragraph" w:customStyle="1" w:styleId="130">
    <w:name w:val="封面标准文稿编辑信息2"/>
    <w:basedOn w:val="78"/>
    <w:qFormat/>
    <w:uiPriority w:val="0"/>
    <w:pPr>
      <w:framePr w:y="4469"/>
    </w:pPr>
  </w:style>
  <w:style w:type="paragraph" w:customStyle="1" w:styleId="13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2">
    <w:name w:val="List Paragraph"/>
    <w:basedOn w:val="1"/>
    <w:qFormat/>
    <w:uiPriority w:val="0"/>
    <w:pPr>
      <w:autoSpaceDE w:val="0"/>
      <w:autoSpaceDN w:val="0"/>
      <w:ind w:left="642" w:hanging="526"/>
      <w:jc w:val="left"/>
    </w:pPr>
    <w:rPr>
      <w:rFonts w:ascii="黑体" w:hAnsi="黑体" w:eastAsia="黑体" w:cs="宋体"/>
      <w:kern w:val="0"/>
      <w:sz w:val="22"/>
      <w:szCs w:val="22"/>
    </w:rPr>
  </w:style>
  <w:style w:type="character" w:customStyle="1" w:styleId="133">
    <w:name w:val="段 Char"/>
    <w:basedOn w:val="32"/>
    <w:link w:val="21"/>
    <w:uiPriority w:val="0"/>
    <w:rPr>
      <w:rFonts w:ascii="宋体"/>
      <w:sz w:val="21"/>
      <w:lang w:val="en-US" w:eastAsia="zh-CN" w:bidi="ar-SA"/>
    </w:rPr>
  </w:style>
  <w:style w:type="character" w:customStyle="1" w:styleId="134">
    <w:name w:val="发布"/>
    <w:basedOn w:val="32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35">
    <w:name w:val="附录公式 Char"/>
    <w:basedOn w:val="133"/>
    <w:link w:val="86"/>
    <w:qFormat/>
    <w:uiPriority w:val="0"/>
  </w:style>
  <w:style w:type="character" w:customStyle="1" w:styleId="136">
    <w:name w:val="首示例 Char"/>
    <w:basedOn w:val="32"/>
    <w:link w:val="111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character" w:customStyle="1" w:styleId="137">
    <w:name w:val="正文文本 Char"/>
    <w:basedOn w:val="32"/>
    <w:link w:val="8"/>
    <w:qFormat/>
    <w:uiPriority w:val="99"/>
    <w:rPr>
      <w:rFonts w:ascii="宋体" w:hAnsi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38634;&#20013;&#33647;&#26448;&#21152;&#24037;&#25216;&#26415;&#35268;&#31243;%20&#30334;&#2151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雪中药材加工技术规程 百合.dot</Template>
  <Pages>6</Pages>
  <Words>1662</Words>
  <Characters>1871</Characters>
  <Lines>21</Lines>
  <Paragraphs>5</Paragraphs>
  <TotalTime>1</TotalTime>
  <ScaleCrop>false</ScaleCrop>
  <LinksUpToDate>false</LinksUpToDate>
  <CharactersWithSpaces>1956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2019-03-06T07:53:00Z</dcterms:created>
  <dc:creator>陈</dc:creator>
  <cp:lastModifiedBy>Sweeter</cp:lastModifiedBy>
  <dcterms:modified xsi:type="dcterms:W3CDTF">2019-03-19T00:40:30Z</dcterms:modified>
  <dc:title>标准名称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